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4494E737"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E33943">
        <w:rPr>
          <w:b/>
          <w:noProof/>
          <w:sz w:val="24"/>
          <w:szCs w:val="24"/>
          <w:lang w:val="en-US"/>
        </w:rPr>
        <w:t>3 Meeting #125</w:t>
      </w:r>
      <w:r w:rsidRPr="00264B7E">
        <w:rPr>
          <w:b/>
          <w:i/>
          <w:noProof/>
          <w:sz w:val="24"/>
          <w:szCs w:val="24"/>
          <w:lang w:val="en-US"/>
        </w:rPr>
        <w:tab/>
      </w:r>
      <w:r w:rsidR="00E33943">
        <w:rPr>
          <w:b/>
          <w:noProof/>
          <w:sz w:val="24"/>
          <w:szCs w:val="24"/>
          <w:lang w:val="en-US"/>
        </w:rPr>
        <w:t>R3</w:t>
      </w:r>
      <w:r w:rsidR="00702913" w:rsidRPr="00264B7E">
        <w:rPr>
          <w:b/>
          <w:noProof/>
          <w:sz w:val="24"/>
          <w:szCs w:val="24"/>
          <w:lang w:val="en-US"/>
        </w:rPr>
        <w:t>-</w:t>
      </w:r>
      <w:r w:rsidR="002E27B9">
        <w:rPr>
          <w:b/>
          <w:noProof/>
          <w:sz w:val="24"/>
          <w:szCs w:val="24"/>
          <w:lang w:val="en-US"/>
        </w:rPr>
        <w:t>244516</w:t>
      </w:r>
    </w:p>
    <w:p w14:paraId="1CD5986C" w14:textId="3B34813B" w:rsidR="00CF1EAE" w:rsidRPr="00264B7E" w:rsidRDefault="006A5FC1" w:rsidP="00CF1EAE">
      <w:pPr>
        <w:pStyle w:val="3GPPHeader"/>
        <w:rPr>
          <w:noProof/>
          <w:szCs w:val="24"/>
          <w:lang w:eastAsia="ko-KR"/>
        </w:rPr>
      </w:pPr>
      <w:r>
        <w:rPr>
          <w:noProof/>
          <w:szCs w:val="24"/>
          <w:lang w:eastAsia="ko-KR"/>
        </w:rPr>
        <w:t>Maastricht, NL</w:t>
      </w:r>
      <w:r w:rsidR="00702913" w:rsidRPr="00264B7E">
        <w:rPr>
          <w:noProof/>
          <w:szCs w:val="24"/>
          <w:lang w:eastAsia="ko-KR"/>
        </w:rPr>
        <w:t xml:space="preserve">, </w:t>
      </w:r>
      <w:r>
        <w:rPr>
          <w:noProof/>
          <w:szCs w:val="24"/>
          <w:lang w:eastAsia="ko-KR"/>
        </w:rPr>
        <w:t>August 19-23</w:t>
      </w:r>
      <w:r w:rsidR="00B55E00" w:rsidRPr="00264B7E">
        <w:rPr>
          <w:noProof/>
          <w:szCs w:val="24"/>
          <w:lang w:eastAsia="ko-KR"/>
        </w:rPr>
        <w:t>, 2024</w:t>
      </w:r>
    </w:p>
    <w:p w14:paraId="252563D4" w14:textId="77777777" w:rsidR="00E90E49" w:rsidRPr="002A0FA9" w:rsidRDefault="00E90E49" w:rsidP="002A0FA9">
      <w:pPr>
        <w:pStyle w:val="Heading1"/>
        <w:rPr>
          <w:lang w:val="en-US"/>
        </w:rPr>
      </w:pPr>
    </w:p>
    <w:p w14:paraId="267378A2" w14:textId="757EAE57"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78484E">
        <w:rPr>
          <w:sz w:val="22"/>
          <w:szCs w:val="22"/>
        </w:rPr>
        <w:t>15.2</w:t>
      </w:r>
    </w:p>
    <w:p w14:paraId="36E7B6AB" w14:textId="499B0611"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r w:rsidR="001E1376">
        <w:rPr>
          <w:sz w:val="22"/>
          <w:szCs w:val="22"/>
        </w:rPr>
        <w:t>, Novamint</w:t>
      </w:r>
      <w:r w:rsidR="00F37A36">
        <w:rPr>
          <w:sz w:val="22"/>
          <w:szCs w:val="22"/>
        </w:rPr>
        <w:t>, Sateliot</w:t>
      </w:r>
    </w:p>
    <w:p w14:paraId="72579376" w14:textId="7E6845F4"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78484E">
        <w:rPr>
          <w:sz w:val="22"/>
          <w:szCs w:val="22"/>
        </w:rPr>
        <w:t>Discussion on support of Store and Forward in NTN</w:t>
      </w:r>
    </w:p>
    <w:p w14:paraId="24C111CD" w14:textId="78C24909"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B55E00" w:rsidRPr="00264B7E">
        <w:rPr>
          <w:sz w:val="22"/>
          <w:szCs w:val="22"/>
        </w:rPr>
        <w:t>Discussion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0FB0EC04" w14:textId="6E8DC7B1" w:rsidR="003E459D" w:rsidRDefault="003E459D" w:rsidP="003E459D">
      <w:pPr>
        <w:pStyle w:val="BodyText"/>
      </w:pPr>
      <w:bookmarkStart w:id="1" w:name="_Ref178064866"/>
      <w:r>
        <w:t>The approved work item justifications and objectives for NR NTN Evolution in Rel-19 [1] emphasizes the benefit to support Store and Forward operation for NB-IoT</w:t>
      </w:r>
      <w:r w:rsidR="00F37A36">
        <w:t xml:space="preserve"> NTN</w:t>
      </w:r>
      <w:r>
        <w:t>.</w:t>
      </w:r>
    </w:p>
    <w:tbl>
      <w:tblPr>
        <w:tblStyle w:val="TableGrid"/>
        <w:tblW w:w="0" w:type="auto"/>
        <w:tblLook w:val="04A0" w:firstRow="1" w:lastRow="0" w:firstColumn="1" w:lastColumn="0" w:noHBand="0" w:noVBand="1"/>
      </w:tblPr>
      <w:tblGrid>
        <w:gridCol w:w="9629"/>
      </w:tblGrid>
      <w:tr w:rsidR="003E459D" w14:paraId="54C88A19" w14:textId="77777777" w:rsidTr="005C31D6">
        <w:tc>
          <w:tcPr>
            <w:tcW w:w="9629" w:type="dxa"/>
          </w:tcPr>
          <w:p w14:paraId="115B0257" w14:textId="77777777" w:rsidR="003E459D" w:rsidRPr="00134B7D" w:rsidRDefault="003E459D" w:rsidP="005C31D6">
            <w:pPr>
              <w:spacing w:after="0"/>
              <w:rPr>
                <w:bCs/>
              </w:rPr>
            </w:pPr>
          </w:p>
          <w:p w14:paraId="6B756F83" w14:textId="77777777" w:rsidR="003E459D" w:rsidRPr="005034EE" w:rsidRDefault="003E459D" w:rsidP="005C31D6">
            <w:pPr>
              <w:spacing w:after="0"/>
              <w:jc w:val="left"/>
              <w:rPr>
                <w:rFonts w:eastAsia="Times New Roman"/>
                <w:sz w:val="20"/>
                <w:szCs w:val="20"/>
                <w:lang w:val="en-GB" w:eastAsia="zh-CN"/>
              </w:rPr>
            </w:pPr>
            <w:r w:rsidRPr="005034EE">
              <w:rPr>
                <w:rFonts w:eastAsia="Times New Roman"/>
                <w:sz w:val="20"/>
                <w:szCs w:val="20"/>
                <w:lang w:val="en-GB" w:eastAsia="zh-CN"/>
              </w:rPr>
              <w:t>Benefits specifically associated with the support of Store and Forward (S&amp;F) Satellite operation with regenerative payload:</w:t>
            </w:r>
          </w:p>
          <w:p w14:paraId="1343DF5E" w14:textId="77777777" w:rsidR="003E459D" w:rsidRPr="005034EE" w:rsidRDefault="003E459D" w:rsidP="003E459D">
            <w:pPr>
              <w:pStyle w:val="ListParagraph"/>
              <w:numPr>
                <w:ilvl w:val="0"/>
                <w:numId w:val="42"/>
              </w:numPr>
              <w:jc w:val="left"/>
              <w:rPr>
                <w:lang w:eastAsia="zh-CN"/>
              </w:rPr>
            </w:pPr>
            <w:r w:rsidRPr="005034EE">
              <w:rPr>
                <w:lang w:eastAsia="zh-CN"/>
              </w:rPr>
              <w:t>S&amp;F operation allows for delay-tolerant, non-real-time IoT NTN services to be offered in areas visited by the satellites but with no need to have NTN gateway infrastructure (e.g.mid-sea, remote areas)</w:t>
            </w:r>
          </w:p>
          <w:p w14:paraId="2DDCC67B" w14:textId="77777777" w:rsidR="003E459D" w:rsidRPr="005034EE" w:rsidRDefault="003E459D" w:rsidP="003E459D">
            <w:pPr>
              <w:pStyle w:val="ListParagraph"/>
              <w:numPr>
                <w:ilvl w:val="0"/>
                <w:numId w:val="42"/>
              </w:numPr>
              <w:jc w:val="left"/>
              <w:rPr>
                <w:lang w:eastAsia="zh-CN"/>
              </w:rPr>
            </w:pPr>
            <w:r w:rsidRPr="005034EE">
              <w:rPr>
                <w:lang w:val="en-GB" w:eastAsia="zh-CN"/>
              </w:rPr>
              <w:t>Along with support for discontinuous coverage, support for S&amp;F operation is key to facilitate cost-effective deployment of IoT NTN services and enable an immediate operational service with (1</w:t>
            </w:r>
            <w:r w:rsidRPr="00356223">
              <w:rPr>
                <w:highlight w:val="yellow"/>
                <w:lang w:val="en-GB" w:eastAsia="zh-CN"/>
              </w:rPr>
              <w:t>) sparse LEO constellations</w:t>
            </w:r>
            <w:r w:rsidRPr="005034EE">
              <w:rPr>
                <w:lang w:val="en-GB" w:eastAsia="zh-CN"/>
              </w:rPr>
              <w:t xml:space="preserve"> and (2) </w:t>
            </w:r>
            <w:r w:rsidRPr="00356223">
              <w:rPr>
                <w:highlight w:val="yellow"/>
                <w:lang w:val="en-GB" w:eastAsia="zh-CN"/>
              </w:rPr>
              <w:t>reduced ground segment infrastructure</w:t>
            </w:r>
            <w:r w:rsidRPr="005034EE">
              <w:rPr>
                <w:lang w:val="en-GB" w:eastAsia="zh-CN"/>
              </w:rPr>
              <w:t>.</w:t>
            </w:r>
          </w:p>
          <w:p w14:paraId="09B73268" w14:textId="77777777" w:rsidR="003E459D" w:rsidRPr="005034EE" w:rsidRDefault="003E459D" w:rsidP="003E459D">
            <w:pPr>
              <w:pStyle w:val="ListParagraph"/>
              <w:numPr>
                <w:ilvl w:val="0"/>
                <w:numId w:val="42"/>
              </w:numPr>
              <w:jc w:val="left"/>
              <w:rPr>
                <w:lang w:eastAsia="zh-CN"/>
              </w:rPr>
            </w:pPr>
            <w:r w:rsidRPr="005034EE">
              <w:rPr>
                <w:lang w:val="en-GB" w:eastAsia="zh-CN"/>
              </w:rPr>
              <w:t>The support of S&amp;F puts the 3GPP IoT NTN solution on par with other non-3GPP solutions intended for massive satellite IoT, which natively already supports S&amp;F services</w:t>
            </w:r>
          </w:p>
          <w:p w14:paraId="54156B77" w14:textId="77777777" w:rsidR="003E459D" w:rsidRPr="005034EE" w:rsidRDefault="003E459D" w:rsidP="005C31D6">
            <w:pPr>
              <w:pStyle w:val="ListParagraph"/>
              <w:overflowPunct/>
              <w:autoSpaceDE/>
              <w:autoSpaceDN/>
              <w:adjustRightInd/>
              <w:spacing w:line="276" w:lineRule="auto"/>
              <w:contextualSpacing/>
              <w:jc w:val="left"/>
              <w:textAlignment w:val="auto"/>
              <w:rPr>
                <w:rFonts w:ascii="Arial" w:eastAsia="Times New Roman" w:hAnsi="Arial"/>
                <w:sz w:val="20"/>
                <w:szCs w:val="20"/>
                <w:lang w:val="en-GB" w:eastAsia="zh-CN"/>
              </w:rPr>
            </w:pPr>
          </w:p>
        </w:tc>
      </w:tr>
    </w:tbl>
    <w:p w14:paraId="2C66C111" w14:textId="77777777" w:rsidR="003E459D" w:rsidRDefault="003E459D" w:rsidP="003E459D">
      <w:pPr>
        <w:pStyle w:val="BodyText"/>
      </w:pPr>
    </w:p>
    <w:tbl>
      <w:tblPr>
        <w:tblStyle w:val="TableGrid"/>
        <w:tblW w:w="0" w:type="auto"/>
        <w:tblLook w:val="04A0" w:firstRow="1" w:lastRow="0" w:firstColumn="1" w:lastColumn="0" w:noHBand="0" w:noVBand="1"/>
      </w:tblPr>
      <w:tblGrid>
        <w:gridCol w:w="9629"/>
      </w:tblGrid>
      <w:tr w:rsidR="003E459D" w14:paraId="3532340B" w14:textId="77777777" w:rsidTr="005C31D6">
        <w:tc>
          <w:tcPr>
            <w:tcW w:w="9629" w:type="dxa"/>
          </w:tcPr>
          <w:p w14:paraId="7D0976CC" w14:textId="77777777" w:rsidR="003E459D" w:rsidRPr="005034EE" w:rsidRDefault="003E459D" w:rsidP="005C31D6">
            <w:pPr>
              <w:spacing w:after="0" w:line="276" w:lineRule="auto"/>
              <w:jc w:val="left"/>
              <w:rPr>
                <w:rFonts w:eastAsia="Times New Roman"/>
                <w:sz w:val="20"/>
                <w:szCs w:val="20"/>
                <w:lang w:val="en-GB" w:eastAsia="zh-CN"/>
              </w:rPr>
            </w:pPr>
            <w:r w:rsidRPr="005034EE">
              <w:rPr>
                <w:rFonts w:eastAsia="Times New Roman"/>
                <w:sz w:val="20"/>
                <w:szCs w:val="20"/>
                <w:lang w:val="en-GB" w:eastAsia="zh-CN"/>
              </w:rPr>
              <w:t>Support of Store&amp;Forward (S&amp;F) satellite operation with full eNB as regenerative payload, therefore:</w:t>
            </w:r>
          </w:p>
          <w:p w14:paraId="6F1F7734" w14:textId="77777777" w:rsidR="003E459D" w:rsidRDefault="003E459D" w:rsidP="005C31D6">
            <w:pPr>
              <w:pStyle w:val="ListParagraph"/>
              <w:numPr>
                <w:ilvl w:val="2"/>
                <w:numId w:val="33"/>
              </w:numPr>
              <w:spacing w:line="276" w:lineRule="auto"/>
              <w:jc w:val="left"/>
              <w:rPr>
                <w:lang w:eastAsia="zh-CN"/>
              </w:rPr>
            </w:pPr>
            <w:r w:rsidRPr="005034EE">
              <w:rPr>
                <w:lang w:eastAsia="zh-CN"/>
              </w:rPr>
              <w:t xml:space="preserve">Define the necessary enhancements into E-UTRAN (network &amp; UE) to support S&amp;F operation for delay-tolerant services [RAN3, RAN2]. </w:t>
            </w:r>
          </w:p>
          <w:p w14:paraId="252CF2EA" w14:textId="77777777" w:rsidR="003E459D" w:rsidRPr="005034EE" w:rsidRDefault="003E459D" w:rsidP="005C31D6">
            <w:pPr>
              <w:pStyle w:val="ListParagraph"/>
              <w:numPr>
                <w:ilvl w:val="3"/>
                <w:numId w:val="33"/>
              </w:numPr>
              <w:spacing w:line="276" w:lineRule="auto"/>
              <w:jc w:val="left"/>
              <w:rPr>
                <w:lang w:eastAsia="zh-CN"/>
              </w:rPr>
            </w:pPr>
            <w:r w:rsidRPr="002E27B9">
              <w:rPr>
                <w:lang w:eastAsia="zh-CN"/>
              </w:rPr>
              <w:t>At least specify necessary enhancements e.g. related to S1 protocol, especially to address the feeder link switch over as needed</w:t>
            </w:r>
            <w:r w:rsidRPr="005034EE">
              <w:rPr>
                <w:lang w:eastAsia="zh-CN"/>
              </w:rPr>
              <w:t xml:space="preserve"> [RAN3]</w:t>
            </w:r>
          </w:p>
          <w:p w14:paraId="486FB993" w14:textId="77777777" w:rsidR="003E459D" w:rsidRPr="005034EE" w:rsidRDefault="003E459D" w:rsidP="005C31D6">
            <w:pPr>
              <w:spacing w:after="0" w:line="276" w:lineRule="auto"/>
              <w:ind w:left="420"/>
              <w:jc w:val="left"/>
              <w:rPr>
                <w:rFonts w:eastAsia="Times New Roman"/>
                <w:sz w:val="20"/>
                <w:szCs w:val="20"/>
                <w:lang w:val="en-GB" w:eastAsia="zh-CN"/>
              </w:rPr>
            </w:pPr>
            <w:r w:rsidRPr="005034EE">
              <w:rPr>
                <w:rFonts w:eastAsia="Times New Roman"/>
                <w:sz w:val="20"/>
                <w:szCs w:val="20"/>
                <w:lang w:val="en-GB" w:eastAsia="zh-CN"/>
              </w:rPr>
              <w:t>Note: Strive to minimise UE impact.</w:t>
            </w:r>
          </w:p>
          <w:p w14:paraId="012F0995" w14:textId="77777777" w:rsidR="003E459D" w:rsidRPr="005034EE" w:rsidRDefault="003E459D" w:rsidP="005C31D6">
            <w:pPr>
              <w:spacing w:after="0" w:line="276" w:lineRule="auto"/>
              <w:jc w:val="left"/>
              <w:rPr>
                <w:rFonts w:eastAsia="Times New Roman"/>
                <w:sz w:val="20"/>
                <w:szCs w:val="20"/>
                <w:lang w:val="en-GB" w:eastAsia="zh-CN"/>
              </w:rPr>
            </w:pPr>
          </w:p>
          <w:p w14:paraId="048F500E" w14:textId="77777777" w:rsidR="003E459D" w:rsidRPr="005034EE" w:rsidRDefault="003E459D" w:rsidP="005C31D6">
            <w:pPr>
              <w:spacing w:after="0" w:line="276" w:lineRule="auto"/>
              <w:ind w:left="420"/>
              <w:jc w:val="left"/>
              <w:rPr>
                <w:rFonts w:eastAsia="Times New Roman"/>
                <w:sz w:val="20"/>
                <w:szCs w:val="20"/>
                <w:lang w:val="en-GB" w:eastAsia="zh-CN"/>
              </w:rPr>
            </w:pPr>
            <w:r w:rsidRPr="005034EE">
              <w:rPr>
                <w:rFonts w:eastAsia="Times New Roman"/>
                <w:sz w:val="20"/>
                <w:szCs w:val="20"/>
                <w:lang w:val="en-GB" w:eastAsia="zh-CN"/>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8FEE209" w14:textId="77777777" w:rsidR="003E459D" w:rsidRPr="005034EE" w:rsidRDefault="003E459D" w:rsidP="005C31D6">
            <w:pPr>
              <w:pStyle w:val="BodyText"/>
              <w:rPr>
                <w:lang w:val="en-GB"/>
              </w:rPr>
            </w:pPr>
          </w:p>
        </w:tc>
      </w:tr>
    </w:tbl>
    <w:p w14:paraId="62034A1D" w14:textId="6B539D92" w:rsidR="003E459D" w:rsidRDefault="003E459D" w:rsidP="003E459D">
      <w:pPr>
        <w:pStyle w:val="BodyText"/>
      </w:pPr>
    </w:p>
    <w:p w14:paraId="01D0DCFC" w14:textId="37781EE9" w:rsidR="00356223" w:rsidRDefault="00356223" w:rsidP="003E459D">
      <w:pPr>
        <w:pStyle w:val="BodyText"/>
      </w:pPr>
      <w:r>
        <w:t>In the same time, SA2 concluded on the following normative impacts of the store and forward [2]</w:t>
      </w:r>
      <w:r w:rsidR="00052204">
        <w:t xml:space="preserve"> the two architecture considered, Split MME a</w:t>
      </w:r>
      <w:r w:rsidR="002A0FA9">
        <w:t>rchitecture and full CN onboard</w:t>
      </w:r>
      <w:r w:rsidR="00052204">
        <w:t>:</w:t>
      </w:r>
    </w:p>
    <w:tbl>
      <w:tblPr>
        <w:tblStyle w:val="TableGrid"/>
        <w:tblW w:w="0" w:type="auto"/>
        <w:tblLook w:val="04A0" w:firstRow="1" w:lastRow="0" w:firstColumn="1" w:lastColumn="0" w:noHBand="0" w:noVBand="1"/>
      </w:tblPr>
      <w:tblGrid>
        <w:gridCol w:w="9629"/>
      </w:tblGrid>
      <w:tr w:rsidR="00356223" w14:paraId="2A87B94C" w14:textId="77777777" w:rsidTr="00356223">
        <w:tc>
          <w:tcPr>
            <w:tcW w:w="9629" w:type="dxa"/>
          </w:tcPr>
          <w:p w14:paraId="40BF2D37" w14:textId="6428AC1A" w:rsidR="00356223" w:rsidRDefault="00356223" w:rsidP="00356223">
            <w:pPr>
              <w:spacing w:after="0"/>
              <w:jc w:val="left"/>
              <w:rPr>
                <w:rFonts w:eastAsia="Times New Roman"/>
                <w:sz w:val="20"/>
                <w:szCs w:val="20"/>
                <w:lang w:val="en-GB" w:eastAsia="zh-CN"/>
              </w:rPr>
            </w:pPr>
            <w:r w:rsidRPr="00356223">
              <w:rPr>
                <w:rFonts w:eastAsia="Times New Roman"/>
                <w:sz w:val="20"/>
                <w:szCs w:val="20"/>
                <w:lang w:val="en-GB" w:eastAsia="zh-CN"/>
              </w:rPr>
              <w:t>The following option is agreed for supporting Store and Forward operation with a Split MME archite</w:t>
            </w:r>
            <w:r w:rsidR="00052204">
              <w:rPr>
                <w:rFonts w:eastAsia="Times New Roman"/>
                <w:sz w:val="20"/>
                <w:szCs w:val="20"/>
                <w:lang w:val="en-GB" w:eastAsia="zh-CN"/>
              </w:rPr>
              <w:t>cture with the following normative impacts</w:t>
            </w:r>
            <w:r w:rsidRPr="00356223">
              <w:rPr>
                <w:rFonts w:eastAsia="Times New Roman"/>
                <w:sz w:val="20"/>
                <w:szCs w:val="20"/>
                <w:lang w:val="en-GB" w:eastAsia="zh-CN"/>
              </w:rPr>
              <w:t>:</w:t>
            </w:r>
          </w:p>
          <w:p w14:paraId="73E4ED8D" w14:textId="77777777" w:rsidR="00356223" w:rsidRPr="00356223" w:rsidRDefault="00356223" w:rsidP="00356223">
            <w:pPr>
              <w:spacing w:after="0"/>
              <w:jc w:val="left"/>
              <w:rPr>
                <w:rFonts w:eastAsia="Times New Roman"/>
                <w:sz w:val="20"/>
                <w:szCs w:val="20"/>
                <w:lang w:val="en-GB" w:eastAsia="zh-CN"/>
              </w:rPr>
            </w:pPr>
          </w:p>
          <w:p w14:paraId="244E94FE" w14:textId="2DD43342" w:rsidR="00356223" w:rsidRPr="00356223" w:rsidRDefault="00356223" w:rsidP="00356223">
            <w:pPr>
              <w:pStyle w:val="ListParagraph"/>
              <w:numPr>
                <w:ilvl w:val="0"/>
                <w:numId w:val="44"/>
              </w:numPr>
              <w:jc w:val="left"/>
              <w:rPr>
                <w:lang w:val="en-GB" w:eastAsia="zh-CN"/>
              </w:rPr>
            </w:pPr>
            <w:r w:rsidRPr="00356223">
              <w:rPr>
                <w:lang w:val="en-GB" w:eastAsia="zh-CN"/>
              </w:rPr>
              <w:lastRenderedPageBreak/>
              <w:t xml:space="preserve">When feeder link is not available and the network supports S&amp;F operation, the network shall be able to </w:t>
            </w:r>
            <w:r w:rsidRPr="00356223">
              <w:rPr>
                <w:highlight w:val="yellow"/>
                <w:lang w:val="en-GB" w:eastAsia="zh-CN"/>
              </w:rPr>
              <w:t>inform UE(s) whether S&amp;F Satellite operation is applied</w:t>
            </w:r>
            <w:r w:rsidRPr="00356223">
              <w:rPr>
                <w:lang w:val="en-GB" w:eastAsia="zh-CN"/>
              </w:rPr>
              <w:t>, (e.g. eNB broadcast support of S&amp;F operation as part of System Information).</w:t>
            </w:r>
          </w:p>
          <w:p w14:paraId="51672E80" w14:textId="77777777" w:rsidR="00356223" w:rsidRPr="00356223" w:rsidRDefault="00356223" w:rsidP="00356223">
            <w:pPr>
              <w:pStyle w:val="ListParagraph"/>
              <w:numPr>
                <w:ilvl w:val="1"/>
                <w:numId w:val="42"/>
              </w:numPr>
              <w:jc w:val="left"/>
            </w:pPr>
            <w:r w:rsidRPr="00356223">
              <w:rPr>
                <w:lang w:val="en-GB" w:eastAsia="zh-CN"/>
              </w:rPr>
              <w:t>NOTE 1:</w:t>
            </w:r>
            <w:r w:rsidRPr="00356223">
              <w:rPr>
                <w:lang w:val="en-GB" w:eastAsia="zh-CN"/>
              </w:rPr>
              <w:tab/>
              <w:t>The trigger for the eNB to broadcast support of S&amp;F operation is based on the decision of RAN WGs. From system perspective the expectation is that if the network does not support S&amp;F operation and the feeder link is not available then eNB switches off and does not broadcast any signal.</w:t>
            </w:r>
          </w:p>
          <w:p w14:paraId="1F1AAA16" w14:textId="0942FE0F" w:rsidR="00356223" w:rsidRPr="00356223" w:rsidRDefault="00356223" w:rsidP="00356223">
            <w:pPr>
              <w:pStyle w:val="ListParagraph"/>
              <w:numPr>
                <w:ilvl w:val="0"/>
                <w:numId w:val="44"/>
              </w:numPr>
              <w:jc w:val="left"/>
            </w:pPr>
            <w:r w:rsidRPr="00356223">
              <w:t xml:space="preserve">When UE initiates Attach or TAU procedure, </w:t>
            </w:r>
            <w:r w:rsidRPr="00F37A36">
              <w:t>it indicates support for S&amp;F mode to the MME following existing NAS capability</w:t>
            </w:r>
            <w:r w:rsidRPr="00356223">
              <w:t>, the MME sends Attach or TAU Reject message to the UE if these procedures cannot be completed due to S&amp;F operation. The Attach or TAU Reject message includes:</w:t>
            </w:r>
          </w:p>
          <w:p w14:paraId="5CFBD6D2" w14:textId="77777777" w:rsidR="00356223" w:rsidRDefault="00356223" w:rsidP="00356223">
            <w:pPr>
              <w:pStyle w:val="ListParagraph"/>
              <w:ind w:left="1440"/>
              <w:jc w:val="left"/>
            </w:pPr>
            <w:r>
              <w:t>a)</w:t>
            </w:r>
            <w: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446D2568" w14:textId="0B10F539" w:rsidR="00356223" w:rsidRDefault="00356223" w:rsidP="00356223">
            <w:pPr>
              <w:pStyle w:val="ListParagraph"/>
              <w:ind w:left="1134"/>
              <w:jc w:val="left"/>
            </w:pPr>
            <w:r w:rsidRPr="00356223">
              <w:rPr>
                <w:lang w:val="en-US"/>
              </w:rPr>
              <w:t xml:space="preserve">      </w:t>
            </w:r>
            <w:r>
              <w:t>b)</w:t>
            </w:r>
            <w:r>
              <w:tab/>
              <w:t>Wait timer: Indicates to the UE the time it should wait before re-attempting the Attach/TAU procedure in the current or another satellite of the same PLMN.</w:t>
            </w:r>
          </w:p>
          <w:p w14:paraId="2B337058" w14:textId="3ED54763" w:rsidR="00356223" w:rsidRDefault="00356223" w:rsidP="00356223">
            <w:pPr>
              <w:pStyle w:val="ListParagraph"/>
              <w:ind w:left="1134"/>
              <w:jc w:val="left"/>
            </w:pPr>
            <w:r w:rsidRPr="00356223">
              <w:rPr>
                <w:lang w:val="en-US"/>
              </w:rPr>
              <w:t xml:space="preserve">       </w:t>
            </w:r>
            <w:r>
              <w:t>c)</w:t>
            </w:r>
            <w:r>
              <w:tab/>
              <w:t>Optionally, The list of Satellite IDs over which the UE may re-attempt the Attach/TAU procedure, after wait timer expires. The Satellite IDs are based on the SIB information broadcasted by eNB.</w:t>
            </w:r>
          </w:p>
          <w:p w14:paraId="17208931" w14:textId="46775888" w:rsidR="00052204" w:rsidRPr="002A0FA9" w:rsidRDefault="00052204" w:rsidP="00052204">
            <w:pPr>
              <w:jc w:val="left"/>
              <w:rPr>
                <w:sz w:val="20"/>
              </w:rPr>
            </w:pPr>
            <w:r w:rsidRPr="002A0FA9">
              <w:rPr>
                <w:sz w:val="20"/>
              </w:rPr>
              <w:t>[…]</w:t>
            </w:r>
          </w:p>
          <w:p w14:paraId="6B8C3BC9" w14:textId="1717A64B" w:rsidR="00052204" w:rsidRPr="002A0FA9" w:rsidRDefault="00052204" w:rsidP="00052204">
            <w:pPr>
              <w:jc w:val="left"/>
              <w:rPr>
                <w:sz w:val="20"/>
              </w:rPr>
            </w:pPr>
            <w:r w:rsidRPr="002A0FA9">
              <w:rPr>
                <w:sz w:val="20"/>
              </w:rPr>
              <w:t>The following option is agreed for supporting Store and Forward operation with a full CN onboard the satellite with the following normative impacts:</w:t>
            </w:r>
          </w:p>
          <w:p w14:paraId="4081F1D0" w14:textId="4DE63599" w:rsidR="00052204" w:rsidRPr="002A0FA9" w:rsidRDefault="00052204" w:rsidP="00052204">
            <w:pPr>
              <w:ind w:left="567"/>
              <w:jc w:val="left"/>
              <w:rPr>
                <w:sz w:val="20"/>
              </w:rPr>
            </w:pPr>
            <w:r w:rsidRPr="002A0FA9">
              <w:rPr>
                <w:sz w:val="20"/>
              </w:rPr>
              <w:t>- Store and forward is only supported by EPS.</w:t>
            </w:r>
          </w:p>
          <w:p w14:paraId="54269027" w14:textId="66A71B09" w:rsidR="00052204" w:rsidRPr="002A0FA9" w:rsidRDefault="00052204" w:rsidP="00052204">
            <w:pPr>
              <w:ind w:left="567"/>
              <w:jc w:val="left"/>
              <w:rPr>
                <w:sz w:val="20"/>
              </w:rPr>
            </w:pPr>
            <w:r w:rsidRPr="002A0FA9">
              <w:rPr>
                <w:sz w:val="20"/>
              </w:rPr>
              <w:t>- Optionally the MME provides the UE with a S&amp;F monitoring list of satellites IDs,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66750EF8" w14:textId="77777777" w:rsidR="00052204" w:rsidRPr="002A0FA9" w:rsidRDefault="00052204" w:rsidP="00052204">
            <w:pPr>
              <w:jc w:val="left"/>
              <w:rPr>
                <w:sz w:val="20"/>
              </w:rPr>
            </w:pPr>
            <w:r w:rsidRPr="002A0FA9">
              <w:rPr>
                <w:sz w:val="20"/>
              </w:rPr>
              <w:t>NOTE 8:</w:t>
            </w:r>
            <w:r w:rsidRPr="002A0FA9">
              <w:rPr>
                <w:sz w:val="20"/>
              </w:rPr>
              <w:tab/>
              <w:t>The S&amp;F monitoring list may assist the UE in retrieving MT data.</w:t>
            </w:r>
          </w:p>
          <w:p w14:paraId="33CC2207" w14:textId="7DD257A4" w:rsidR="00052204" w:rsidRPr="00052204" w:rsidRDefault="00052204" w:rsidP="00052204">
            <w:pPr>
              <w:pStyle w:val="ListParagraph"/>
              <w:numPr>
                <w:ilvl w:val="0"/>
                <w:numId w:val="42"/>
              </w:numPr>
              <w:jc w:val="left"/>
            </w:pPr>
            <w:r w:rsidRPr="00052204">
              <w:t>The UE needs to be aware that a satellite supports S&amp;F mode.</w:t>
            </w:r>
          </w:p>
          <w:p w14:paraId="39422988" w14:textId="77777777" w:rsidR="00052204" w:rsidRPr="002A0FA9" w:rsidRDefault="00052204" w:rsidP="00052204">
            <w:pPr>
              <w:jc w:val="left"/>
              <w:rPr>
                <w:sz w:val="20"/>
              </w:rPr>
            </w:pPr>
            <w:r w:rsidRPr="002A0FA9">
              <w:rPr>
                <w:sz w:val="20"/>
              </w:rPr>
              <w:t>NOTE 9:</w:t>
            </w:r>
            <w:r w:rsidRPr="002A0FA9">
              <w:rPr>
                <w:sz w:val="20"/>
              </w:rPr>
              <w:tab/>
              <w:t>How the UE is aware that a satellite supports S&amp;F mode of operation depends on RAN.</w:t>
            </w:r>
          </w:p>
          <w:p w14:paraId="61DF63E9" w14:textId="37C9A5D6" w:rsidR="00052204" w:rsidRPr="00052204" w:rsidRDefault="00052204" w:rsidP="00052204">
            <w:pPr>
              <w:pStyle w:val="ListParagraph"/>
              <w:numPr>
                <w:ilvl w:val="0"/>
                <w:numId w:val="42"/>
              </w:numPr>
              <w:jc w:val="left"/>
            </w:pPr>
            <w:r w:rsidRPr="00052204">
              <w:t>A UE may be rejected if the satellite cannot support the UE at this time. The attach reject may provide a timer for the time the UE should wait before reattempting and S&amp;F monitoring list which the UE can attempt attach again.</w:t>
            </w:r>
          </w:p>
          <w:p w14:paraId="7BF2BE9E" w14:textId="5435B37C" w:rsidR="00356223" w:rsidRDefault="00356223" w:rsidP="00356223">
            <w:pPr>
              <w:jc w:val="left"/>
            </w:pPr>
          </w:p>
        </w:tc>
      </w:tr>
    </w:tbl>
    <w:p w14:paraId="3F44C208" w14:textId="77777777" w:rsidR="00356223" w:rsidRDefault="00356223" w:rsidP="003E459D">
      <w:pPr>
        <w:pStyle w:val="BodyText"/>
      </w:pPr>
    </w:p>
    <w:p w14:paraId="333F2ED3" w14:textId="7021D63D" w:rsidR="003E459D" w:rsidRDefault="00052204" w:rsidP="003E459D">
      <w:pPr>
        <w:pStyle w:val="BodyText"/>
      </w:pPr>
      <w:r>
        <w:t>RAN2#126 assumed the following steps for store and forward satellite operation:</w:t>
      </w:r>
    </w:p>
    <w:tbl>
      <w:tblPr>
        <w:tblStyle w:val="TableGrid"/>
        <w:tblW w:w="0" w:type="auto"/>
        <w:tblLook w:val="04A0" w:firstRow="1" w:lastRow="0" w:firstColumn="1" w:lastColumn="0" w:noHBand="0" w:noVBand="1"/>
      </w:tblPr>
      <w:tblGrid>
        <w:gridCol w:w="9629"/>
      </w:tblGrid>
      <w:tr w:rsidR="00052204" w14:paraId="16E5A225" w14:textId="77777777" w:rsidTr="00052204">
        <w:tc>
          <w:tcPr>
            <w:tcW w:w="9629" w:type="dxa"/>
          </w:tcPr>
          <w:p w14:paraId="11DBF979" w14:textId="77777777" w:rsidR="00052204" w:rsidRPr="002A0FA9" w:rsidRDefault="00052204" w:rsidP="00052204">
            <w:pPr>
              <w:pStyle w:val="BodyText"/>
              <w:rPr>
                <w:sz w:val="20"/>
              </w:rPr>
            </w:pPr>
            <w:r w:rsidRPr="002A0FA9">
              <w:rPr>
                <w:sz w:val="20"/>
              </w:rPr>
              <w:t>For the uplink/downlink messages transmission for MO, from RAN2 perspective the following steps are taken as baseline for S&amp;F satellite operation (in case only eNB is on the satellite):</w:t>
            </w:r>
          </w:p>
          <w:p w14:paraId="3EFE64BC" w14:textId="77777777" w:rsidR="00052204" w:rsidRPr="002A0FA9" w:rsidRDefault="00052204" w:rsidP="00052204">
            <w:pPr>
              <w:pStyle w:val="BodyText"/>
              <w:rPr>
                <w:sz w:val="20"/>
              </w:rPr>
            </w:pPr>
            <w:r w:rsidRPr="002A0FA9">
              <w:rPr>
                <w:sz w:val="20"/>
              </w:rPr>
              <w:tab/>
              <w:t xml:space="preserve">1) The UE sends uplink data signalling to eNB when service link is available and the eNB stores it. </w:t>
            </w:r>
          </w:p>
          <w:p w14:paraId="406B489A" w14:textId="77777777" w:rsidR="00052204" w:rsidRPr="002A0FA9" w:rsidRDefault="00052204" w:rsidP="00052204">
            <w:pPr>
              <w:pStyle w:val="BodyText"/>
              <w:rPr>
                <w:sz w:val="20"/>
              </w:rPr>
            </w:pPr>
            <w:r w:rsidRPr="002A0FA9">
              <w:rPr>
                <w:sz w:val="20"/>
              </w:rPr>
              <w:tab/>
              <w:t>2) When feeder link is available, the eNB sends the uplink data/NAS signalling to the CN.</w:t>
            </w:r>
          </w:p>
          <w:p w14:paraId="6ECD20A5" w14:textId="77777777" w:rsidR="00052204" w:rsidRPr="002A0FA9" w:rsidRDefault="00052204" w:rsidP="00052204">
            <w:pPr>
              <w:pStyle w:val="BodyText"/>
              <w:rPr>
                <w:sz w:val="20"/>
              </w:rPr>
            </w:pPr>
            <w:r w:rsidRPr="002A0FA9">
              <w:rPr>
                <w:sz w:val="20"/>
              </w:rPr>
              <w:tab/>
              <w:t>3) The eNB (same or different) receives the downlink data/NAS signalling from the CN and stores it when feeder link is available (and service link is not available).</w:t>
            </w:r>
          </w:p>
          <w:p w14:paraId="4E6A5EF0" w14:textId="77777777" w:rsidR="00052204" w:rsidRPr="002A0FA9" w:rsidRDefault="00052204" w:rsidP="00052204">
            <w:pPr>
              <w:pStyle w:val="BodyText"/>
              <w:rPr>
                <w:sz w:val="20"/>
              </w:rPr>
            </w:pPr>
            <w:r w:rsidRPr="002A0FA9">
              <w:rPr>
                <w:sz w:val="20"/>
              </w:rPr>
              <w:tab/>
              <w:t>4) The eNB (same or different) sends the downlink data/signalling to the UE when service link is available again</w:t>
            </w:r>
          </w:p>
          <w:p w14:paraId="567663F5" w14:textId="61C906E9" w:rsidR="00052204" w:rsidRDefault="00052204" w:rsidP="00052204">
            <w:pPr>
              <w:pStyle w:val="BodyText"/>
            </w:pPr>
            <w:r w:rsidRPr="002A0FA9">
              <w:rPr>
                <w:sz w:val="20"/>
              </w:rPr>
              <w:t>S&amp;F indication can be provided by SIB (FFS on the details). RAN2 assumes that no NAS indication is needed</w:t>
            </w:r>
          </w:p>
        </w:tc>
      </w:tr>
    </w:tbl>
    <w:p w14:paraId="5D24E270" w14:textId="4B2FF139" w:rsidR="00052204" w:rsidRDefault="00052204" w:rsidP="003E459D">
      <w:pPr>
        <w:pStyle w:val="BodyText"/>
      </w:pPr>
    </w:p>
    <w:p w14:paraId="09460242" w14:textId="4DC41C38" w:rsidR="00052204" w:rsidRPr="00CE0424" w:rsidRDefault="001B1C9D" w:rsidP="003E459D">
      <w:pPr>
        <w:pStyle w:val="BodyText"/>
      </w:pPr>
      <w:r>
        <w:t xml:space="preserve">In this contribution we discuss the store and forward operation and provide a </w:t>
      </w:r>
      <w:r w:rsidR="002A0FA9">
        <w:t>path</w:t>
      </w:r>
      <w:r>
        <w:t xml:space="preserve"> to support it, especially in the stage 2 description and S1 operations.</w:t>
      </w:r>
    </w:p>
    <w:p w14:paraId="19F42AE6" w14:textId="77777777" w:rsidR="003E459D" w:rsidRDefault="003E459D" w:rsidP="003E459D">
      <w:pPr>
        <w:pStyle w:val="Heading1"/>
      </w:pPr>
      <w:r>
        <w:t>2</w:t>
      </w:r>
      <w:r>
        <w:tab/>
      </w:r>
      <w:r w:rsidRPr="00CE0424">
        <w:t>Discussion</w:t>
      </w:r>
      <w:bookmarkEnd w:id="1"/>
    </w:p>
    <w:p w14:paraId="471E6FA7" w14:textId="7333EF0D" w:rsidR="003E459D" w:rsidRDefault="00CB4659" w:rsidP="003E459D">
      <w:pPr>
        <w:rPr>
          <w:b/>
          <w:u w:val="single"/>
        </w:rPr>
      </w:pPr>
      <w:r>
        <w:rPr>
          <w:b/>
          <w:u w:val="single"/>
        </w:rPr>
        <w:t>Store-and-</w:t>
      </w:r>
      <w:r w:rsidR="003E459D">
        <w:rPr>
          <w:b/>
          <w:u w:val="single"/>
        </w:rPr>
        <w:t>Forward</w:t>
      </w:r>
      <w:r w:rsidR="000D026F">
        <w:rPr>
          <w:b/>
          <w:u w:val="single"/>
        </w:rPr>
        <w:t xml:space="preserve"> Satellite operation</w:t>
      </w:r>
    </w:p>
    <w:p w14:paraId="4821501B" w14:textId="77777777" w:rsidR="007D1D9D" w:rsidRDefault="003E459D" w:rsidP="007D1D9D">
      <w:pPr>
        <w:keepNext/>
        <w:jc w:val="center"/>
      </w:pPr>
      <w:r w:rsidRPr="00A81C8E">
        <w:rPr>
          <w:noProof/>
          <w:lang w:eastAsia="en-US"/>
        </w:rPr>
        <w:drawing>
          <wp:inline distT="0" distB="0" distL="0" distR="0" wp14:anchorId="4B57EC99" wp14:editId="071C88BF">
            <wp:extent cx="2957885" cy="1711862"/>
            <wp:effectExtent l="0" t="0" r="0" b="317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1"/>
                    <a:stretch>
                      <a:fillRect/>
                    </a:stretch>
                  </pic:blipFill>
                  <pic:spPr>
                    <a:xfrm>
                      <a:off x="0" y="0"/>
                      <a:ext cx="2976557" cy="1722668"/>
                    </a:xfrm>
                    <a:prstGeom prst="rect">
                      <a:avLst/>
                    </a:prstGeom>
                  </pic:spPr>
                </pic:pic>
              </a:graphicData>
            </a:graphic>
          </wp:inline>
        </w:drawing>
      </w:r>
    </w:p>
    <w:p w14:paraId="75AE390C" w14:textId="6B303383" w:rsidR="003E459D" w:rsidRDefault="007D1D9D" w:rsidP="007D1D9D">
      <w:pPr>
        <w:pStyle w:val="Caption"/>
        <w:jc w:val="center"/>
      </w:pPr>
      <w:r>
        <w:t xml:space="preserve">Figure </w:t>
      </w:r>
      <w:r>
        <w:fldChar w:fldCharType="begin"/>
      </w:r>
      <w:r>
        <w:instrText xml:space="preserve"> SEQ Figure \* ARABIC </w:instrText>
      </w:r>
      <w:r>
        <w:fldChar w:fldCharType="separate"/>
      </w:r>
      <w:r w:rsidR="00A75A42">
        <w:rPr>
          <w:noProof/>
        </w:rPr>
        <w:t>1</w:t>
      </w:r>
      <w:r>
        <w:fldChar w:fldCharType="end"/>
      </w:r>
      <w:r>
        <w:t xml:space="preserve"> - Store and forward </w:t>
      </w:r>
      <w:r w:rsidR="000D026F">
        <w:t xml:space="preserve">Satellite </w:t>
      </w:r>
      <w:r>
        <w:t>operation</w:t>
      </w:r>
    </w:p>
    <w:p w14:paraId="2FFA93DB" w14:textId="33AB3836" w:rsidR="003E459D" w:rsidRDefault="003E459D" w:rsidP="003E459D">
      <w:r>
        <w:t>Sto</w:t>
      </w:r>
      <w:r w:rsidR="001B1C9D">
        <w:t xml:space="preserve">re and Forward </w:t>
      </w:r>
      <w:r w:rsidR="000D026F">
        <w:t>Satellite operation is</w:t>
      </w:r>
      <w:r w:rsidR="001B1C9D">
        <w:t xml:space="preserve"> defined in [4</w:t>
      </w:r>
      <w:r>
        <w:t>] as the ability of a NTN to “</w:t>
      </w:r>
      <w:r w:rsidRPr="00206248">
        <w:t>provides a way to enable autonomously network service to UEs without the satellite always being connected to the ground station, which can extend the service availability for the areas without the connectivity to ground station via feeder link or ISL (e.g. at sea, very remote areas lack of ground-station infrastructures), improve the ground segment affordability with fewer ground stations and allow more robust UE services with the satellite under intermittently/temporarily unavailable feeder link.</w:t>
      </w:r>
      <w:r>
        <w:t xml:space="preserve">”. </w:t>
      </w:r>
    </w:p>
    <w:p w14:paraId="3B06FC25" w14:textId="09BC7F3D" w:rsidR="003E459D" w:rsidRPr="001E1376" w:rsidRDefault="001B1C9D" w:rsidP="003E459D">
      <w:pPr>
        <w:rPr>
          <w:rFonts w:cs="Arial"/>
        </w:rPr>
      </w:pPr>
      <w:r w:rsidRPr="001E1376">
        <w:rPr>
          <w:rFonts w:cs="Arial"/>
        </w:rPr>
        <w:t>The study performed in [3</w:t>
      </w:r>
      <w:r w:rsidR="003E459D" w:rsidRPr="001E1376">
        <w:rPr>
          <w:rFonts w:cs="Arial"/>
        </w:rPr>
        <w:t xml:space="preserve">] describes </w:t>
      </w:r>
      <w:r w:rsidR="000D026F" w:rsidRPr="001E1376">
        <w:rPr>
          <w:rFonts w:cs="Arial"/>
        </w:rPr>
        <w:t xml:space="preserve">5 </w:t>
      </w:r>
      <w:r w:rsidR="003E459D" w:rsidRPr="001E1376">
        <w:rPr>
          <w:rFonts w:cs="Arial"/>
        </w:rPr>
        <w:t xml:space="preserve">use cases for Store and Forward </w:t>
      </w:r>
      <w:r w:rsidR="000D026F" w:rsidRPr="001E1376">
        <w:rPr>
          <w:rFonts w:cs="Arial"/>
        </w:rPr>
        <w:t xml:space="preserve">Satellite operation </w:t>
      </w:r>
      <w:r w:rsidR="003E459D" w:rsidRPr="001E1376">
        <w:rPr>
          <w:rFonts w:cs="Arial"/>
        </w:rPr>
        <w:t>that are:</w:t>
      </w:r>
    </w:p>
    <w:p w14:paraId="1603EB24" w14:textId="77777777" w:rsidR="003E459D" w:rsidRPr="002E27B9" w:rsidRDefault="003E459D" w:rsidP="002E27B9">
      <w:pPr>
        <w:pStyle w:val="ListParagraph"/>
        <w:numPr>
          <w:ilvl w:val="0"/>
          <w:numId w:val="45"/>
        </w:numPr>
        <w:rPr>
          <w:rFonts w:ascii="Arial" w:hAnsi="Arial" w:cs="Arial"/>
        </w:rPr>
      </w:pPr>
      <w:r w:rsidRPr="002E27B9">
        <w:rPr>
          <w:rFonts w:ascii="Arial" w:hAnsi="Arial" w:cs="Arial"/>
          <w:lang w:val="en-US"/>
        </w:rPr>
        <w:t>Mobile-Originated message Store and Forward</w:t>
      </w:r>
    </w:p>
    <w:p w14:paraId="2F60736F" w14:textId="77777777" w:rsidR="003E459D" w:rsidRPr="002E27B9" w:rsidRDefault="003E459D" w:rsidP="002E27B9">
      <w:pPr>
        <w:pStyle w:val="ListParagraph"/>
        <w:numPr>
          <w:ilvl w:val="0"/>
          <w:numId w:val="45"/>
        </w:numPr>
        <w:rPr>
          <w:rFonts w:ascii="Arial" w:hAnsi="Arial" w:cs="Arial"/>
        </w:rPr>
      </w:pPr>
      <w:r w:rsidRPr="002E27B9">
        <w:rPr>
          <w:rFonts w:ascii="Arial" w:hAnsi="Arial" w:cs="Arial"/>
          <w:lang w:val="en-US"/>
        </w:rPr>
        <w:t>Mobile-Terminated message Store and Forward</w:t>
      </w:r>
    </w:p>
    <w:p w14:paraId="22393B5F" w14:textId="77777777" w:rsidR="003E459D" w:rsidRPr="002E27B9" w:rsidRDefault="003E459D" w:rsidP="002E27B9">
      <w:pPr>
        <w:pStyle w:val="ListParagraph"/>
        <w:numPr>
          <w:ilvl w:val="0"/>
          <w:numId w:val="45"/>
        </w:numPr>
        <w:rPr>
          <w:rFonts w:ascii="Arial" w:hAnsi="Arial" w:cs="Arial"/>
        </w:rPr>
      </w:pPr>
      <w:r w:rsidRPr="002E27B9">
        <w:rPr>
          <w:rFonts w:ascii="Arial" w:hAnsi="Arial" w:cs="Arial"/>
          <w:lang w:val="fr-FR"/>
        </w:rPr>
        <w:t xml:space="preserve">Inter-Satellite Store and </w:t>
      </w:r>
      <w:r w:rsidRPr="002E27B9">
        <w:rPr>
          <w:rFonts w:ascii="Arial" w:hAnsi="Arial" w:cs="Arial"/>
          <w:lang w:val="en-GB"/>
        </w:rPr>
        <w:t>Forward</w:t>
      </w:r>
    </w:p>
    <w:p w14:paraId="08A78162" w14:textId="77777777" w:rsidR="003E459D" w:rsidRPr="002E27B9" w:rsidRDefault="003E459D" w:rsidP="000D026F">
      <w:pPr>
        <w:pStyle w:val="ListParagraph"/>
        <w:numPr>
          <w:ilvl w:val="0"/>
          <w:numId w:val="45"/>
        </w:numPr>
        <w:rPr>
          <w:rFonts w:ascii="Arial" w:hAnsi="Arial" w:cs="Arial"/>
        </w:rPr>
      </w:pPr>
      <w:r w:rsidRPr="002E27B9">
        <w:rPr>
          <w:rFonts w:ascii="Arial" w:hAnsi="Arial" w:cs="Arial"/>
          <w:lang w:val="en-US"/>
        </w:rPr>
        <w:t>Data transfer for IoT devices in remote area</w:t>
      </w:r>
    </w:p>
    <w:p w14:paraId="48B1830B" w14:textId="5387E2BA" w:rsidR="000D026F" w:rsidRPr="002E27B9" w:rsidRDefault="000D026F" w:rsidP="002E27B9">
      <w:pPr>
        <w:pStyle w:val="ListParagraph"/>
        <w:numPr>
          <w:ilvl w:val="0"/>
          <w:numId w:val="45"/>
        </w:numPr>
        <w:rPr>
          <w:rFonts w:ascii="Arial" w:hAnsi="Arial" w:cs="Arial"/>
        </w:rPr>
      </w:pPr>
      <w:r w:rsidRPr="002E27B9">
        <w:rPr>
          <w:rFonts w:ascii="Arial" w:hAnsi="Arial" w:cs="Arial"/>
        </w:rPr>
        <w:t>Emergency report</w:t>
      </w:r>
    </w:p>
    <w:p w14:paraId="1D1B4639" w14:textId="77777777" w:rsidR="003E459D" w:rsidRPr="001E1376" w:rsidRDefault="003E459D" w:rsidP="003E459D">
      <w:pPr>
        <w:rPr>
          <w:rFonts w:cs="Arial"/>
          <w:lang w:val="x-none"/>
        </w:rPr>
      </w:pPr>
    </w:p>
    <w:p w14:paraId="3A61C655" w14:textId="65F118F8" w:rsidR="003E459D" w:rsidRPr="001E1376" w:rsidRDefault="001B1C9D" w:rsidP="003E459D">
      <w:pPr>
        <w:rPr>
          <w:rFonts w:cs="Arial"/>
        </w:rPr>
      </w:pPr>
      <w:r w:rsidRPr="001E1376">
        <w:rPr>
          <w:rFonts w:cs="Arial"/>
        </w:rPr>
        <w:t>Also, [4</w:t>
      </w:r>
      <w:r w:rsidR="003E459D" w:rsidRPr="001E1376">
        <w:rPr>
          <w:rFonts w:cs="Arial"/>
        </w:rPr>
        <w:t xml:space="preserve">] defines also a list of requirements associated to Store and Forward </w:t>
      </w:r>
      <w:r w:rsidR="000D026F" w:rsidRPr="001E1376">
        <w:rPr>
          <w:rFonts w:cs="Arial"/>
        </w:rPr>
        <w:t xml:space="preserve">Satellite </w:t>
      </w:r>
      <w:r w:rsidR="003E459D" w:rsidRPr="001E1376">
        <w:rPr>
          <w:rFonts w:cs="Arial"/>
        </w:rPr>
        <w:t>operation</w:t>
      </w:r>
      <w:r w:rsidR="000D026F" w:rsidRPr="001E1376">
        <w:rPr>
          <w:rFonts w:cs="Arial"/>
        </w:rPr>
        <w:t xml:space="preserve"> including</w:t>
      </w:r>
      <w:r w:rsidR="003E459D" w:rsidRPr="001E1376">
        <w:rPr>
          <w:rFonts w:cs="Arial"/>
        </w:rPr>
        <w:t>:</w:t>
      </w:r>
    </w:p>
    <w:p w14:paraId="54028B9C" w14:textId="77777777" w:rsidR="003E459D" w:rsidRPr="002E27B9" w:rsidRDefault="003E459D" w:rsidP="002E27B9">
      <w:pPr>
        <w:pStyle w:val="ListParagraph"/>
        <w:numPr>
          <w:ilvl w:val="0"/>
          <w:numId w:val="47"/>
        </w:numPr>
        <w:rPr>
          <w:rFonts w:ascii="Arial" w:hAnsi="Arial" w:cs="Arial"/>
        </w:rPr>
      </w:pPr>
      <w:r w:rsidRPr="002E27B9">
        <w:rPr>
          <w:rFonts w:ascii="Arial" w:hAnsi="Arial" w:cs="Arial"/>
          <w:lang w:val="en-GB"/>
        </w:rPr>
        <w:t>S</w:t>
      </w:r>
      <w:r w:rsidRPr="002E27B9">
        <w:rPr>
          <w:rFonts w:ascii="Arial" w:hAnsi="Arial" w:cs="Arial"/>
        </w:rPr>
        <w:t>tore data on the satellite when the feeder link is unavailable; and forward the data once the feeder link between the satellite and the ground segment becomes available as illustrated on the figure above.</w:t>
      </w:r>
    </w:p>
    <w:p w14:paraId="00B2CC9F" w14:textId="77777777" w:rsidR="003E459D" w:rsidRPr="002E27B9" w:rsidRDefault="003E459D" w:rsidP="002E27B9">
      <w:pPr>
        <w:pStyle w:val="ListParagraph"/>
        <w:numPr>
          <w:ilvl w:val="0"/>
          <w:numId w:val="47"/>
        </w:numPr>
        <w:rPr>
          <w:rFonts w:ascii="Arial" w:hAnsi="Arial" w:cs="Arial"/>
        </w:rPr>
      </w:pPr>
      <w:r w:rsidRPr="002E27B9">
        <w:rPr>
          <w:rFonts w:ascii="Arial" w:hAnsi="Arial" w:cs="Arial"/>
        </w:rPr>
        <w:t>A 5G system with satellite access shall be able to inform a UE whether S&amp;F Satellite operation is applied</w:t>
      </w:r>
    </w:p>
    <w:p w14:paraId="6660A748" w14:textId="77777777" w:rsidR="003E459D" w:rsidRPr="002E27B9" w:rsidRDefault="003E459D" w:rsidP="002E27B9">
      <w:pPr>
        <w:pStyle w:val="ListParagraph"/>
        <w:numPr>
          <w:ilvl w:val="0"/>
          <w:numId w:val="47"/>
        </w:numPr>
        <w:rPr>
          <w:rFonts w:ascii="Arial" w:hAnsi="Arial" w:cs="Arial"/>
        </w:rPr>
      </w:pPr>
      <w:r w:rsidRPr="002E27B9">
        <w:rPr>
          <w:rFonts w:ascii="Arial" w:hAnsi="Arial" w:cs="Arial"/>
        </w:rPr>
        <w:t xml:space="preserve">Subject to operator’s policies, a 5G system with satellite access supporting S&amp;F Satellite operation shall be able to support forwarding of the stored data from one satellite to another satellite (e.g., which has an available feeder link to the ground network), through ISLs. </w:t>
      </w:r>
    </w:p>
    <w:p w14:paraId="24FE65DA" w14:textId="77777777" w:rsidR="003E459D" w:rsidRDefault="003E459D" w:rsidP="003E459D"/>
    <w:p w14:paraId="4E962254" w14:textId="7C13750A" w:rsidR="003E459D" w:rsidRDefault="001B1C9D" w:rsidP="003E459D">
      <w:r>
        <w:t>Finally, [5</w:t>
      </w:r>
      <w:r w:rsidR="003E459D">
        <w:t>] studied different solutions to support regenerative IoT NTN payload and store and forward operations. Especially, the regenerative payload architecture pose the problem of the moving interfaces and network registration that are in the scope of the RAN3.</w:t>
      </w:r>
    </w:p>
    <w:p w14:paraId="117E00C3" w14:textId="2069C2D8" w:rsidR="002A0FA9" w:rsidRDefault="002A0FA9" w:rsidP="002A0FA9">
      <w:pPr>
        <w:pStyle w:val="Observation"/>
      </w:pPr>
      <w:r>
        <w:t xml:space="preserve">Store and forward </w:t>
      </w:r>
      <w:r w:rsidR="002B70F7">
        <w:t xml:space="preserve">Satellite </w:t>
      </w:r>
      <w:r>
        <w:t>operation need</w:t>
      </w:r>
      <w:r w:rsidR="002B70F7">
        <w:t>s</w:t>
      </w:r>
      <w:r>
        <w:t xml:space="preserve"> support of the regenerative payload architecture for IoT NTN</w:t>
      </w:r>
    </w:p>
    <w:p w14:paraId="08E2BB8F" w14:textId="075AFF62" w:rsidR="00A851E6" w:rsidRDefault="001B1C9D" w:rsidP="009C701A">
      <w:pPr>
        <w:rPr>
          <w:b/>
          <w:u w:val="single"/>
        </w:rPr>
      </w:pPr>
      <w:r>
        <w:rPr>
          <w:b/>
          <w:u w:val="single"/>
        </w:rPr>
        <w:t>Support regenerative payload for LTE</w:t>
      </w:r>
    </w:p>
    <w:p w14:paraId="49041390" w14:textId="20BFBA73" w:rsidR="001B1C9D" w:rsidRDefault="001B1C9D" w:rsidP="009C701A">
      <w:r>
        <w:lastRenderedPageBreak/>
        <w:t>The regenerative payload is introduced in Rel-18 for NR NTN. The stage-2 endorsed CR for TS 38.300 describe a baseline architecture to support regenerative payload for NR NTN [6]</w:t>
      </w:r>
      <w:r w:rsidR="00EA6FD5">
        <w:t xml:space="preserve"> as presented on the Figure below</w:t>
      </w:r>
      <w:r w:rsidR="00F37A36">
        <w:t xml:space="preserve"> which shows an overall illustration </w:t>
      </w:r>
      <w:r w:rsidR="00F37A36" w:rsidRPr="00F37A36">
        <w:t>of an NTN with regenerative payload hosting a gNB</w:t>
      </w:r>
      <w:r w:rsidR="00EA6FD5">
        <w:t>.</w:t>
      </w:r>
    </w:p>
    <w:p w14:paraId="696AFD6F" w14:textId="77777777" w:rsidR="00EA6FD5" w:rsidRDefault="00D4081C" w:rsidP="00EA6FD5">
      <w:pPr>
        <w:keepNext/>
        <w:jc w:val="center"/>
      </w:pPr>
      <w:r>
        <w:rPr>
          <w:noProof/>
        </w:rPr>
        <w:object w:dxaOrig="7668" w:dyaOrig="6732" w14:anchorId="29876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8pt;height:338.15pt;mso-width-percent:0;mso-height-percent:0;mso-width-percent:0;mso-height-percent:0" o:ole="">
            <v:imagedata r:id="rId12" o:title=""/>
          </v:shape>
          <o:OLEObject Type="Embed" ProgID="Visio.Drawing.15" ShapeID="_x0000_i1025" DrawAspect="Content" ObjectID="_1784680070" r:id="rId13"/>
        </w:object>
      </w:r>
    </w:p>
    <w:p w14:paraId="6A0E4025" w14:textId="0E464103" w:rsidR="001B1C9D" w:rsidRDefault="00EA6FD5" w:rsidP="00EA6FD5">
      <w:pPr>
        <w:pStyle w:val="Caption"/>
        <w:jc w:val="center"/>
      </w:pPr>
      <w:r>
        <w:t xml:space="preserve">Figure </w:t>
      </w:r>
      <w:r>
        <w:fldChar w:fldCharType="begin"/>
      </w:r>
      <w:r>
        <w:instrText xml:space="preserve"> SEQ Figure \* ARABIC </w:instrText>
      </w:r>
      <w:r>
        <w:fldChar w:fldCharType="separate"/>
      </w:r>
      <w:r w:rsidR="00A75A42">
        <w:rPr>
          <w:noProof/>
        </w:rPr>
        <w:t>2</w:t>
      </w:r>
      <w:r>
        <w:fldChar w:fldCharType="end"/>
      </w:r>
      <w:r>
        <w:t xml:space="preserve"> - </w:t>
      </w:r>
      <w:r w:rsidRPr="00294980">
        <w:t>Overall illustration of an NTN with regenerative payload hosting a gNB</w:t>
      </w:r>
    </w:p>
    <w:p w14:paraId="48B1F13D" w14:textId="630D66A1" w:rsidR="00EA6FD5" w:rsidRDefault="006F3EBF" w:rsidP="00EA6FD5">
      <w:pPr>
        <w:rPr>
          <w:lang w:eastAsia="en-GB"/>
        </w:rPr>
      </w:pPr>
      <w:r>
        <w:rPr>
          <w:lang w:eastAsia="en-GB"/>
        </w:rPr>
        <w:t xml:space="preserve">The Figure 4.12-1 in TS 36.300 should be updated with a Figure 4.12-1x that present a regenerative architecture where the eNB and at least a part of the CN is embarked in the NTN payload. Also, a NOTE should precise that the feeder link might be </w:t>
      </w:r>
      <w:r w:rsidR="007D1D9D">
        <w:rPr>
          <w:lang w:eastAsia="en-GB"/>
        </w:rPr>
        <w:t>intermittent</w:t>
      </w:r>
      <w:r>
        <w:rPr>
          <w:lang w:eastAsia="en-GB"/>
        </w:rPr>
        <w:t>.</w:t>
      </w:r>
    </w:p>
    <w:p w14:paraId="14272A33" w14:textId="454C2EE7" w:rsidR="002A0FA9" w:rsidRDefault="002A0FA9" w:rsidP="002A0FA9">
      <w:pPr>
        <w:pStyle w:val="Proposal"/>
      </w:pPr>
      <w:r>
        <w:t>Support the regenerative payload architecture in TS 36.300. The endorsed CR R3-243949 to support regenerative payload in NR NTN could be used as baseline</w:t>
      </w:r>
    </w:p>
    <w:p w14:paraId="6CC3DDA1" w14:textId="3346671C" w:rsidR="004B46C9" w:rsidRDefault="004B46C9" w:rsidP="00EA6FD5">
      <w:pPr>
        <w:rPr>
          <w:lang w:eastAsia="en-GB"/>
        </w:rPr>
      </w:pPr>
      <w:r>
        <w:rPr>
          <w:lang w:eastAsia="en-GB"/>
        </w:rPr>
        <w:t>These RAN modifications are mostly transparent for the UEs. The UEs are informed about the store-and-forward data transmission method by an indication in the SIB.</w:t>
      </w:r>
    </w:p>
    <w:p w14:paraId="1DB7A8BD" w14:textId="4786FBAF" w:rsidR="002A0FA9" w:rsidRDefault="002A0FA9" w:rsidP="002A0FA9">
      <w:pPr>
        <w:pStyle w:val="Observation"/>
        <w:rPr>
          <w:lang w:eastAsia="en-GB"/>
        </w:rPr>
      </w:pPr>
      <w:r>
        <w:rPr>
          <w:lang w:eastAsia="en-GB"/>
        </w:rPr>
        <w:t xml:space="preserve">The UEs are informed </w:t>
      </w:r>
      <w:r w:rsidR="00F37A36">
        <w:rPr>
          <w:lang w:eastAsia="en-GB"/>
        </w:rPr>
        <w:t>via System Information of whether S&amp;F</w:t>
      </w:r>
      <w:r>
        <w:rPr>
          <w:lang w:eastAsia="en-GB"/>
        </w:rPr>
        <w:t xml:space="preserve"> </w:t>
      </w:r>
      <w:r w:rsidR="00F37A36">
        <w:rPr>
          <w:lang w:eastAsia="en-GB"/>
        </w:rPr>
        <w:t>satellite operation mode is activated or not in an NTN cell</w:t>
      </w:r>
      <w:r>
        <w:rPr>
          <w:lang w:eastAsia="en-GB"/>
        </w:rPr>
        <w:t>.</w:t>
      </w:r>
      <w:r w:rsidR="00453F36">
        <w:rPr>
          <w:lang w:eastAsia="en-GB"/>
        </w:rPr>
        <w:t xml:space="preserve"> The procedure is out of the RAN3 scope</w:t>
      </w:r>
    </w:p>
    <w:p w14:paraId="2F7005AA" w14:textId="579E5138" w:rsidR="007D1D9D" w:rsidRDefault="007D1D9D" w:rsidP="00EA6FD5">
      <w:pPr>
        <w:rPr>
          <w:lang w:eastAsia="en-GB"/>
        </w:rPr>
      </w:pPr>
    </w:p>
    <w:p w14:paraId="6F9EA8A2" w14:textId="019492A6" w:rsidR="007D1D9D" w:rsidRPr="007D1D9D" w:rsidRDefault="007D1D9D" w:rsidP="00EA6FD5">
      <w:pPr>
        <w:rPr>
          <w:b/>
          <w:u w:val="single"/>
          <w:lang w:eastAsia="en-GB"/>
        </w:rPr>
      </w:pPr>
      <w:r>
        <w:rPr>
          <w:b/>
          <w:u w:val="single"/>
          <w:lang w:eastAsia="en-GB"/>
        </w:rPr>
        <w:t>Discussion on multi-satellite Store-and-Forward</w:t>
      </w:r>
      <w:r w:rsidR="00CF38BB">
        <w:rPr>
          <w:b/>
          <w:u w:val="single"/>
          <w:lang w:eastAsia="en-GB"/>
        </w:rPr>
        <w:t xml:space="preserve"> Satellite operation</w:t>
      </w:r>
    </w:p>
    <w:p w14:paraId="4D1C9C62" w14:textId="1B337A89" w:rsidR="001E5E2F" w:rsidRDefault="006F3EBF" w:rsidP="00EA6FD5">
      <w:pPr>
        <w:rPr>
          <w:lang w:eastAsia="en-GB"/>
        </w:rPr>
      </w:pPr>
      <w:r>
        <w:rPr>
          <w:lang w:eastAsia="en-GB"/>
        </w:rPr>
        <w:t xml:space="preserve">Contrary the Figure </w:t>
      </w:r>
      <w:r w:rsidR="007D1D9D">
        <w:rPr>
          <w:lang w:eastAsia="en-GB"/>
        </w:rPr>
        <w:t>2</w:t>
      </w:r>
      <w:r>
        <w:rPr>
          <w:lang w:eastAsia="en-GB"/>
        </w:rPr>
        <w:t xml:space="preserve"> presenting inter-satellite link (ISL) between satellites, SA2 only studied solutions without ISL between satellites. Therefore, as a baseline, ISL are not considered in the stage-2.</w:t>
      </w:r>
    </w:p>
    <w:p w14:paraId="51CF5781" w14:textId="77777777" w:rsidR="006709D0" w:rsidRDefault="006709D0" w:rsidP="001E5E2F">
      <w:pPr>
        <w:rPr>
          <w:lang w:eastAsia="en-GB"/>
        </w:rPr>
      </w:pPr>
      <w:r>
        <w:rPr>
          <w:lang w:eastAsia="en-GB"/>
        </w:rPr>
        <w:t>However, it is important to note that d</w:t>
      </w:r>
      <w:r w:rsidR="001E5E2F">
        <w:rPr>
          <w:lang w:eastAsia="en-GB"/>
        </w:rPr>
        <w:t>ue to the nature of a NGSO constellation, the serving satellite</w:t>
      </w:r>
      <w:r>
        <w:rPr>
          <w:lang w:eastAsia="en-GB"/>
        </w:rPr>
        <w:t xml:space="preserve"> of a UE</w:t>
      </w:r>
      <w:r w:rsidR="001E5E2F">
        <w:rPr>
          <w:lang w:eastAsia="en-GB"/>
        </w:rPr>
        <w:t xml:space="preserve"> is always changing</w:t>
      </w:r>
      <w:r>
        <w:rPr>
          <w:lang w:eastAsia="en-GB"/>
        </w:rPr>
        <w:t xml:space="preserve"> as a</w:t>
      </w:r>
      <w:r w:rsidR="001E5E2F" w:rsidRPr="001E5E2F">
        <w:rPr>
          <w:lang w:eastAsia="en-GB"/>
        </w:rPr>
        <w:t xml:space="preserve">llowing a UE to be served by different satellites within the constellation is key to reducing the revisit time for the UE. </w:t>
      </w:r>
    </w:p>
    <w:p w14:paraId="485F194E" w14:textId="77777777" w:rsidR="006709D0" w:rsidRDefault="001E5E2F" w:rsidP="001E5E2F">
      <w:pPr>
        <w:rPr>
          <w:lang w:eastAsia="en-GB"/>
        </w:rPr>
      </w:pPr>
      <w:r w:rsidRPr="001E5E2F">
        <w:rPr>
          <w:lang w:eastAsia="en-GB"/>
        </w:rPr>
        <w:t xml:space="preserve">Note that the revisit time with a single satellite in typical LEO orbits may be around 12h or longer </w:t>
      </w:r>
      <w:r w:rsidR="006709D0">
        <w:rPr>
          <w:lang w:eastAsia="en-GB"/>
        </w:rPr>
        <w:t>[9]</w:t>
      </w:r>
      <w:r w:rsidRPr="001E5E2F">
        <w:rPr>
          <w:lang w:eastAsia="en-GB"/>
        </w:rPr>
        <w:t>. Therefore, restricting the solution to single-satellite would mean that a UE wil only be able to send/receive data e.g. twice a day on average.</w:t>
      </w:r>
      <w:r w:rsidR="006709D0">
        <w:rPr>
          <w:lang w:eastAsia="en-GB"/>
        </w:rPr>
        <w:t xml:space="preserve"> </w:t>
      </w:r>
    </w:p>
    <w:p w14:paraId="769C5D08" w14:textId="671FC1EA" w:rsidR="001E5E2F" w:rsidRPr="006709D0" w:rsidRDefault="006709D0" w:rsidP="001E5E2F">
      <w:pPr>
        <w:rPr>
          <w:lang w:eastAsia="en-GB"/>
        </w:rPr>
      </w:pPr>
      <w:r>
        <w:rPr>
          <w:lang w:eastAsia="en-GB"/>
        </w:rPr>
        <w:t>This case is even reinforced for a moving UE.</w:t>
      </w:r>
    </w:p>
    <w:p w14:paraId="2D462380" w14:textId="03CECC27" w:rsidR="00CF38BB" w:rsidRDefault="001E5E2F" w:rsidP="00EA6FD5">
      <w:pPr>
        <w:rPr>
          <w:lang w:eastAsia="en-GB"/>
        </w:rPr>
      </w:pPr>
      <w:r>
        <w:rPr>
          <w:lang w:eastAsia="en-GB"/>
        </w:rPr>
        <w:lastRenderedPageBreak/>
        <w:t xml:space="preserve">Therefore, </w:t>
      </w:r>
      <w:r w:rsidR="006709D0">
        <w:rPr>
          <w:lang w:eastAsia="en-GB"/>
        </w:rPr>
        <w:t xml:space="preserve">the support of </w:t>
      </w:r>
      <w:r w:rsidR="00F37A36">
        <w:rPr>
          <w:lang w:eastAsia="en-GB"/>
        </w:rPr>
        <w:t xml:space="preserve">a </w:t>
      </w:r>
      <w:r w:rsidR="006709D0">
        <w:rPr>
          <w:lang w:eastAsia="en-GB"/>
        </w:rPr>
        <w:t>S</w:t>
      </w:r>
      <w:r w:rsidR="006709D0" w:rsidRPr="006709D0">
        <w:rPr>
          <w:lang w:eastAsia="en-GB"/>
        </w:rPr>
        <w:t xml:space="preserve">tore and </w:t>
      </w:r>
      <w:r w:rsidR="006709D0">
        <w:rPr>
          <w:lang w:eastAsia="en-GB"/>
        </w:rPr>
        <w:t>F</w:t>
      </w:r>
      <w:r w:rsidR="006709D0" w:rsidRPr="006709D0">
        <w:rPr>
          <w:lang w:eastAsia="en-GB"/>
        </w:rPr>
        <w:t xml:space="preserve">orward </w:t>
      </w:r>
      <w:r w:rsidR="006709D0">
        <w:rPr>
          <w:lang w:eastAsia="en-GB"/>
        </w:rPr>
        <w:t xml:space="preserve">Satellite operation </w:t>
      </w:r>
      <w:r w:rsidR="00F37A36">
        <w:rPr>
          <w:lang w:eastAsia="en-GB"/>
        </w:rPr>
        <w:t xml:space="preserve">solution able to serve a UE via multiple satellites (in other words, not restricting the interaction of a UE and the network to a single satellite of the constellation) </w:t>
      </w:r>
      <w:r w:rsidR="006709D0" w:rsidRPr="006709D0">
        <w:rPr>
          <w:lang w:eastAsia="en-GB"/>
        </w:rPr>
        <w:t xml:space="preserve">should be considered in the architecture </w:t>
      </w:r>
      <w:r w:rsidR="006709D0">
        <w:rPr>
          <w:lang w:eastAsia="en-GB"/>
        </w:rPr>
        <w:t>from the beginning</w:t>
      </w:r>
      <w:r w:rsidR="00F37A36">
        <w:rPr>
          <w:lang w:eastAsia="en-GB"/>
        </w:rPr>
        <w:t xml:space="preserve">. This is referred in the following as multi-satellite S&amp;F. </w:t>
      </w:r>
    </w:p>
    <w:p w14:paraId="045C897D" w14:textId="77777777" w:rsidR="006709D0" w:rsidRDefault="006709D0" w:rsidP="00EA6FD5">
      <w:pPr>
        <w:rPr>
          <w:lang w:eastAsia="en-GB"/>
        </w:rPr>
      </w:pPr>
    </w:p>
    <w:p w14:paraId="2A066D16" w14:textId="338D751B" w:rsidR="007D1D9D" w:rsidRDefault="007D1D9D" w:rsidP="007D1D9D">
      <w:pPr>
        <w:keepNext/>
        <w:jc w:val="center"/>
      </w:pPr>
      <w:r>
        <w:rPr>
          <w:noProof/>
          <w:lang w:eastAsia="en-US"/>
        </w:rPr>
        <mc:AlternateContent>
          <mc:Choice Requires="wps">
            <w:drawing>
              <wp:anchor distT="0" distB="0" distL="114300" distR="114300" simplePos="0" relativeHeight="251657216" behindDoc="0" locked="0" layoutInCell="1" allowOverlap="1" wp14:anchorId="54D26C7E" wp14:editId="65EBC42B">
                <wp:simplePos x="0" y="0"/>
                <wp:positionH relativeFrom="column">
                  <wp:posOffset>4887844</wp:posOffset>
                </wp:positionH>
                <wp:positionV relativeFrom="paragraph">
                  <wp:posOffset>520933</wp:posOffset>
                </wp:positionV>
                <wp:extent cx="295147" cy="567160"/>
                <wp:effectExtent l="0" t="0" r="29210" b="23495"/>
                <wp:wrapNone/>
                <wp:docPr id="1" name="Straight Connector 1"/>
                <wp:cNvGraphicFramePr/>
                <a:graphic xmlns:a="http://schemas.openxmlformats.org/drawingml/2006/main">
                  <a:graphicData uri="http://schemas.microsoft.com/office/word/2010/wordprocessingShape">
                    <wps:wsp>
                      <wps:cNvCnPr/>
                      <wps:spPr>
                        <a:xfrm flipV="1">
                          <a:off x="0" y="0"/>
                          <a:ext cx="295147" cy="567160"/>
                        </a:xfrm>
                        <a:prstGeom prst="line">
                          <a:avLst/>
                        </a:prstGeom>
                        <a:ln w="190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D64323"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85pt,41pt" to="408.1pt,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" strokecolor="#2f5496 [2404]" strokeweight="1.5pt">
                <v:stroke joinstyle="miter"/>
              </v:line>
            </w:pict>
          </mc:Fallback>
        </mc:AlternateContent>
      </w:r>
      <w:r>
        <w:rPr>
          <w:noProof/>
          <w:lang w:eastAsia="en-US"/>
        </w:rPr>
        <w:drawing>
          <wp:inline distT="0" distB="0" distL="0" distR="0" wp14:anchorId="678910C2" wp14:editId="20D19112">
            <wp:extent cx="5622877" cy="2146025"/>
            <wp:effectExtent l="0" t="0" r="0" b="0"/>
            <wp:docPr id="16" name="Picture 16" descr="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Fig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6845" cy="2151356"/>
                    </a:xfrm>
                    <a:prstGeom prst="rect">
                      <a:avLst/>
                    </a:prstGeom>
                    <a:noFill/>
                    <a:ln>
                      <a:noFill/>
                    </a:ln>
                  </pic:spPr>
                </pic:pic>
              </a:graphicData>
            </a:graphic>
          </wp:inline>
        </w:drawing>
      </w:r>
    </w:p>
    <w:p w14:paraId="7852AD84" w14:textId="21631A82" w:rsidR="007D1D9D" w:rsidRDefault="007D1D9D" w:rsidP="007D1D9D">
      <w:pPr>
        <w:pStyle w:val="Caption"/>
        <w:jc w:val="center"/>
      </w:pPr>
      <w:r>
        <w:t xml:space="preserve">Figure </w:t>
      </w:r>
      <w:r>
        <w:fldChar w:fldCharType="begin"/>
      </w:r>
      <w:r>
        <w:instrText xml:space="preserve"> SEQ Figure \* ARABIC </w:instrText>
      </w:r>
      <w:r>
        <w:fldChar w:fldCharType="separate"/>
      </w:r>
      <w:r w:rsidR="00A75A42">
        <w:rPr>
          <w:noProof/>
        </w:rPr>
        <w:t>3</w:t>
      </w:r>
      <w:r>
        <w:fldChar w:fldCharType="end"/>
      </w:r>
      <w:r>
        <w:t xml:space="preserve"> - Discontinuous coverage and Store-and-forward examples (extracted and modified from R2-2403337)</w:t>
      </w:r>
    </w:p>
    <w:p w14:paraId="6E5B86B4" w14:textId="14424294" w:rsidR="006F3EBF" w:rsidRDefault="006F3EBF" w:rsidP="004B46C9">
      <w:pPr>
        <w:rPr>
          <w:lang w:eastAsia="en-GB"/>
        </w:rPr>
      </w:pPr>
      <w:r>
        <w:rPr>
          <w:lang w:eastAsia="en-GB"/>
        </w:rPr>
        <w:t xml:space="preserve">The support of multi-satellite </w:t>
      </w:r>
      <w:r w:rsidR="00F37A36">
        <w:rPr>
          <w:lang w:eastAsia="en-GB"/>
        </w:rPr>
        <w:t>S&amp;F</w:t>
      </w:r>
      <w:r>
        <w:rPr>
          <w:lang w:eastAsia="en-GB"/>
        </w:rPr>
        <w:t xml:space="preserve"> is </w:t>
      </w:r>
      <w:r w:rsidR="006709D0">
        <w:rPr>
          <w:lang w:eastAsia="en-GB"/>
        </w:rPr>
        <w:t xml:space="preserve">also </w:t>
      </w:r>
      <w:r>
        <w:rPr>
          <w:lang w:eastAsia="en-GB"/>
        </w:rPr>
        <w:t xml:space="preserve">interesting for some </w:t>
      </w:r>
      <w:r w:rsidR="006709D0">
        <w:rPr>
          <w:lang w:eastAsia="en-GB"/>
        </w:rPr>
        <w:t xml:space="preserve">advanced </w:t>
      </w:r>
      <w:r w:rsidR="00051CD8">
        <w:rPr>
          <w:lang w:eastAsia="en-GB"/>
        </w:rPr>
        <w:t>scenarios of deployment where the number of gateways are limited and ISL does not draw a</w:t>
      </w:r>
      <w:r w:rsidR="00453F36">
        <w:rPr>
          <w:lang w:eastAsia="en-GB"/>
        </w:rPr>
        <w:t xml:space="preserve"> direct</w:t>
      </w:r>
      <w:r w:rsidR="00051CD8">
        <w:rPr>
          <w:lang w:eastAsia="en-GB"/>
        </w:rPr>
        <w:t xml:space="preserve"> path between a cluster of satellite (inside a same orbital plane for instance) with a gateway. With an appropriate exchange </w:t>
      </w:r>
      <w:r w:rsidR="00453F36">
        <w:rPr>
          <w:lang w:eastAsia="en-GB"/>
        </w:rPr>
        <w:t xml:space="preserve">of </w:t>
      </w:r>
      <w:r w:rsidR="00051CD8">
        <w:rPr>
          <w:lang w:eastAsia="en-GB"/>
        </w:rPr>
        <w:t>information (</w:t>
      </w:r>
      <w:r w:rsidR="0078027A">
        <w:rPr>
          <w:lang w:eastAsia="en-GB"/>
        </w:rPr>
        <w:t>MME-MME S10 interface</w:t>
      </w:r>
      <w:r w:rsidR="00051CD8">
        <w:rPr>
          <w:lang w:eastAsia="en-GB"/>
        </w:rPr>
        <w:t>), the satellite are able to distribute data in the constellation and transmit them to the ground as soon as a feeder link to a gateway is available. The data are not considered stored in a specific satellite’s MME but in the network of MME.</w:t>
      </w:r>
      <w:r w:rsidR="007D1D9D">
        <w:rPr>
          <w:lang w:eastAsia="en-GB"/>
        </w:rPr>
        <w:t xml:space="preserve"> It brings more resiliency to the system, since the data can be distributed between satellites in the constellation by routing and can </w:t>
      </w:r>
      <w:r w:rsidR="00453F36">
        <w:rPr>
          <w:lang w:eastAsia="en-GB"/>
        </w:rPr>
        <w:t>then</w:t>
      </w:r>
      <w:r w:rsidR="007D1D9D">
        <w:rPr>
          <w:lang w:eastAsia="en-GB"/>
        </w:rPr>
        <w:t xml:space="preserve"> support longer feeder link interruption for non-delay tolerant data. Also, a satellite when its buffer is full can store data on another neighbour satellite. </w:t>
      </w:r>
      <w:r w:rsidR="004B46C9">
        <w:rPr>
          <w:lang w:eastAsia="en-GB"/>
        </w:rPr>
        <w:t>The need for a communication infrastructure resilient to feeder-link momentarily unavailable is also stated in [7], “the connection between the satellite and the rest of the NB-IoT network functional elements is not guaranteed over time. […] As a consequence, the whole architecture shall be designed in order to allow NTN terminals to exchange data with satellites, even in the temporary absence of the feeder-link”.</w:t>
      </w:r>
    </w:p>
    <w:p w14:paraId="58E81602" w14:textId="439D47EF" w:rsidR="006709D0" w:rsidRDefault="00453F36" w:rsidP="006709D0">
      <w:pPr>
        <w:pStyle w:val="Proposal"/>
      </w:pPr>
      <w:r>
        <w:t xml:space="preserve">The multi-satellite support for </w:t>
      </w:r>
      <w:r w:rsidR="006709D0">
        <w:t>S</w:t>
      </w:r>
      <w:r>
        <w:t xml:space="preserve">tore and </w:t>
      </w:r>
      <w:r w:rsidR="006709D0">
        <w:t>F</w:t>
      </w:r>
      <w:r>
        <w:t xml:space="preserve">orward </w:t>
      </w:r>
      <w:r w:rsidR="006709D0">
        <w:t>Satellite operation</w:t>
      </w:r>
      <w:r w:rsidR="002B70F7">
        <w:t xml:space="preserve"> </w:t>
      </w:r>
      <w:r w:rsidR="00F37A36">
        <w:t xml:space="preserve">(multi-satellite S&amp;F) </w:t>
      </w:r>
      <w:r>
        <w:t xml:space="preserve">should be considered </w:t>
      </w:r>
      <w:r w:rsidR="00F37A36">
        <w:t xml:space="preserve">as the baseline and general case, while restricting the number of satellites that can serve to a given UE to one (single-satellite S&amp;F) is a particular deployment case. </w:t>
      </w:r>
    </w:p>
    <w:p w14:paraId="5A13352E" w14:textId="2001F229" w:rsidR="00CB4659" w:rsidRDefault="00CB4659" w:rsidP="00EA6FD5">
      <w:pPr>
        <w:rPr>
          <w:b/>
          <w:u w:val="single"/>
          <w:lang w:eastAsia="en-GB"/>
        </w:rPr>
      </w:pPr>
      <w:r>
        <w:rPr>
          <w:b/>
          <w:u w:val="single"/>
          <w:lang w:eastAsia="en-GB"/>
        </w:rPr>
        <w:t>Impact on S1 interface</w:t>
      </w:r>
    </w:p>
    <w:p w14:paraId="05B3D615" w14:textId="3BA87A5C" w:rsidR="00CB4659" w:rsidRDefault="00C72D1C" w:rsidP="00C72D1C">
      <w:r>
        <w:rPr>
          <w:noProof/>
          <w:lang w:eastAsia="en-US"/>
        </w:rPr>
        <w:t>The</w:t>
      </w:r>
      <w:r w:rsidR="0078027A">
        <w:rPr>
          <w:lang w:eastAsia="en-GB"/>
        </w:rPr>
        <w:t xml:space="preserve"> full CN onboard architecture</w:t>
      </w:r>
      <w:r>
        <w:rPr>
          <w:lang w:eastAsia="en-GB"/>
        </w:rPr>
        <w:t xml:space="preserve"> (</w:t>
      </w:r>
      <w:r>
        <w:t>eNB, MME, SGW, PGW, HSS, E-SMLC, SMSC, etc…) is depicted on the Figure below:</w:t>
      </w:r>
    </w:p>
    <w:p w14:paraId="197B469D" w14:textId="2FB4283A" w:rsidR="00C72D1C" w:rsidRDefault="00C72D1C" w:rsidP="00C72D1C">
      <w:pPr>
        <w:rPr>
          <w:lang w:eastAsia="en-GB"/>
        </w:rPr>
      </w:pPr>
      <w:r>
        <w:rPr>
          <w:noProof/>
          <w:lang w:eastAsia="en-US"/>
        </w:rPr>
        <mc:AlternateContent>
          <mc:Choice Requires="wps">
            <w:drawing>
              <wp:anchor distT="0" distB="0" distL="114300" distR="114300" simplePos="0" relativeHeight="251669504" behindDoc="0" locked="0" layoutInCell="1" allowOverlap="1" wp14:anchorId="1506A10C" wp14:editId="21EA7E1A">
                <wp:simplePos x="0" y="0"/>
                <wp:positionH relativeFrom="column">
                  <wp:posOffset>378889</wp:posOffset>
                </wp:positionH>
                <wp:positionV relativeFrom="paragraph">
                  <wp:posOffset>227488</wp:posOffset>
                </wp:positionV>
                <wp:extent cx="3931920" cy="1426137"/>
                <wp:effectExtent l="19050" t="19050" r="11430" b="22225"/>
                <wp:wrapNone/>
                <wp:docPr id="12" name="Rectangle 12"/>
                <wp:cNvGraphicFramePr/>
                <a:graphic xmlns:a="http://schemas.openxmlformats.org/drawingml/2006/main">
                  <a:graphicData uri="http://schemas.microsoft.com/office/word/2010/wordprocessingShape">
                    <wps:wsp>
                      <wps:cNvSpPr/>
                      <wps:spPr>
                        <a:xfrm>
                          <a:off x="0" y="0"/>
                          <a:ext cx="3931920" cy="1426137"/>
                        </a:xfrm>
                        <a:prstGeom prst="rect">
                          <a:avLst/>
                        </a:prstGeom>
                        <a:noFill/>
                        <a:ln w="2857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7234DDB" id="Rectangle 12" o:spid="_x0000_s1026" style="position:absolute;margin-left:29.85pt;margin-top:17.9pt;width:309.6pt;height:112.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" filled="f" strokecolor="#002060" strokeweight="2.25pt"/>
            </w:pict>
          </mc:Fallback>
        </mc:AlternateContent>
      </w:r>
    </w:p>
    <w:p w14:paraId="29E97118" w14:textId="59076B02" w:rsidR="00C72D1C" w:rsidRDefault="00C72D1C" w:rsidP="00C72D1C">
      <w:pPr>
        <w:keepNext/>
      </w:pPr>
      <w:r>
        <w:rPr>
          <w:noProof/>
          <w:lang w:eastAsia="en-US"/>
        </w:rPr>
        <mc:AlternateContent>
          <mc:Choice Requires="wps">
            <w:drawing>
              <wp:anchor distT="0" distB="0" distL="114300" distR="114300" simplePos="0" relativeHeight="251670528" behindDoc="0" locked="0" layoutInCell="1" allowOverlap="1" wp14:anchorId="75A52D57" wp14:editId="18931B06">
                <wp:simplePos x="0" y="0"/>
                <wp:positionH relativeFrom="column">
                  <wp:posOffset>436729</wp:posOffset>
                </wp:positionH>
                <wp:positionV relativeFrom="paragraph">
                  <wp:posOffset>24615</wp:posOffset>
                </wp:positionV>
                <wp:extent cx="914400" cy="243135"/>
                <wp:effectExtent l="0" t="0" r="0" b="5080"/>
                <wp:wrapNone/>
                <wp:docPr id="14" name="Text Box 14"/>
                <wp:cNvGraphicFramePr/>
                <a:graphic xmlns:a="http://schemas.openxmlformats.org/drawingml/2006/main">
                  <a:graphicData uri="http://schemas.microsoft.com/office/word/2010/wordprocessingShape">
                    <wps:wsp>
                      <wps:cNvSpPr txBox="1"/>
                      <wps:spPr>
                        <a:xfrm>
                          <a:off x="0" y="0"/>
                          <a:ext cx="914400" cy="243135"/>
                        </a:xfrm>
                        <a:prstGeom prst="rect">
                          <a:avLst/>
                        </a:prstGeom>
                        <a:noFill/>
                        <a:ln w="6350">
                          <a:noFill/>
                        </a:ln>
                      </wps:spPr>
                      <wps:txbx>
                        <w:txbxContent>
                          <w:p w14:paraId="43721B46" w14:textId="33D4F88F" w:rsidR="005C31D6" w:rsidRPr="00C72D1C" w:rsidRDefault="005C31D6">
                            <w:pPr>
                              <w:rPr>
                                <w:color w:val="002060"/>
                                <w:lang w:val="fr-FR"/>
                                <w14:textOutline w14:w="9525" w14:cap="rnd" w14:cmpd="sng" w14:algn="ctr">
                                  <w14:noFill/>
                                  <w14:prstDash w14:val="solid"/>
                                  <w14:bevel/>
                                </w14:textOutline>
                              </w:rPr>
                            </w:pPr>
                            <w:r w:rsidRPr="00C72D1C">
                              <w:rPr>
                                <w:color w:val="002060"/>
                                <w:lang w:val="fr-FR"/>
                                <w14:textOutline w14:w="9525" w14:cap="rnd" w14:cmpd="sng" w14:algn="ctr">
                                  <w14:noFill/>
                                  <w14:prstDash w14:val="solid"/>
                                  <w14:bevel/>
                                </w14:textOutline>
                              </w:rPr>
                              <w:t>NTN payload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A52D57" id="_x0000_t202" coordsize="21600,21600" o:spt="202" path="m,l,21600r21600,l21600,xe">
                <v:stroke joinstyle="miter"/>
                <v:path gradientshapeok="t" o:connecttype="rect"/>
              </v:shapetype>
              <v:shape id="Text Box 14" o:spid="_x0000_s1026" type="#_x0000_t202" style="position:absolute;left:0;text-align:left;margin-left:34.4pt;margin-top:1.95pt;width:1in;height:19.15pt;z-index:251670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" filled="f" stroked="f" strokeweight=".5pt">
                <v:textbox>
                  <w:txbxContent>
                    <w:p w14:paraId="43721B46" w14:textId="33D4F88F" w:rsidR="005C31D6" w:rsidRPr="00C72D1C" w:rsidRDefault="005C31D6">
                      <w:pPr>
                        <w:rPr>
                          <w:color w:val="002060"/>
                          <w:lang w:val="fr-FR"/>
                          <w14:textOutline w14:w="9525" w14:cap="rnd" w14:cmpd="sng" w14:algn="ctr">
                            <w14:noFill/>
                            <w14:prstDash w14:val="solid"/>
                            <w14:bevel/>
                          </w14:textOutline>
                        </w:rPr>
                      </w:pPr>
                      <w:r w:rsidRPr="00C72D1C">
                        <w:rPr>
                          <w:color w:val="002060"/>
                          <w:lang w:val="fr-FR"/>
                          <w14:textOutline w14:w="9525" w14:cap="rnd" w14:cmpd="sng" w14:algn="ctr">
                            <w14:noFill/>
                            <w14:prstDash w14:val="solid"/>
                            <w14:bevel/>
                          </w14:textOutline>
                        </w:rPr>
                        <w:t>NTN payload</w:t>
                      </w:r>
                    </w:p>
                  </w:txbxContent>
                </v:textbox>
              </v:shape>
            </w:pict>
          </mc:Fallback>
        </mc:AlternateContent>
      </w:r>
      <w:r>
        <w:rPr>
          <w:noProof/>
          <w:lang w:eastAsia="en-US"/>
        </w:rPr>
        <mc:AlternateContent>
          <mc:Choice Requires="wps">
            <w:drawing>
              <wp:anchor distT="0" distB="0" distL="114300" distR="114300" simplePos="0" relativeHeight="251668480" behindDoc="0" locked="0" layoutInCell="1" allowOverlap="1" wp14:anchorId="65148574" wp14:editId="30C29E1F">
                <wp:simplePos x="0" y="0"/>
                <wp:positionH relativeFrom="column">
                  <wp:posOffset>4633632</wp:posOffset>
                </wp:positionH>
                <wp:positionV relativeFrom="paragraph">
                  <wp:posOffset>918845</wp:posOffset>
                </wp:positionV>
                <wp:extent cx="343561" cy="486271"/>
                <wp:effectExtent l="0" t="0" r="18415" b="28575"/>
                <wp:wrapNone/>
                <wp:docPr id="11" name="Text Box 11"/>
                <wp:cNvGraphicFramePr/>
                <a:graphic xmlns:a="http://schemas.openxmlformats.org/drawingml/2006/main">
                  <a:graphicData uri="http://schemas.microsoft.com/office/word/2010/wordprocessingShape">
                    <wps:wsp>
                      <wps:cNvSpPr txBox="1"/>
                      <wps:spPr>
                        <a:xfrm>
                          <a:off x="0" y="0"/>
                          <a:ext cx="343561" cy="486271"/>
                        </a:xfrm>
                        <a:prstGeom prst="rect">
                          <a:avLst/>
                        </a:prstGeom>
                        <a:solidFill>
                          <a:schemeClr val="bg1"/>
                        </a:solidFill>
                        <a:ln w="12700">
                          <a:solidFill>
                            <a:srgbClr val="002060"/>
                          </a:solidFill>
                        </a:ln>
                      </wps:spPr>
                      <wps:txbx>
                        <w:txbxContent>
                          <w:p w14:paraId="3C4EA3B5" w14:textId="2939DE49" w:rsidR="005C31D6" w:rsidRPr="00C72D1C" w:rsidRDefault="005C31D6">
                            <w:pPr>
                              <w:rPr>
                                <w:lang w:val="fr-FR"/>
                              </w:rPr>
                            </w:pPr>
                            <w:r>
                              <w:rPr>
                                <w:lang w:val="fr-FR"/>
                              </w:rPr>
                              <w:t>proxy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48574" id="Text Box 11" o:spid="_x0000_s1027" type="#_x0000_t202" style="position:absolute;left:0;text-align:left;margin-left:364.85pt;margin-top:72.35pt;width:27.05pt;height:38.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" fillcolor="white [3212]" strokecolor="#002060" strokeweight="1pt">
                <v:textbox style="layout-flow:vertical;mso-layout-flow-alt:bottom-to-top">
                  <w:txbxContent>
                    <w:p w14:paraId="3C4EA3B5" w14:textId="2939DE49" w:rsidR="005C31D6" w:rsidRPr="00C72D1C" w:rsidRDefault="005C31D6">
                      <w:pPr>
                        <w:rPr>
                          <w:lang w:val="fr-FR"/>
                        </w:rPr>
                      </w:pPr>
                      <w:r>
                        <w:rPr>
                          <w:lang w:val="fr-FR"/>
                        </w:rPr>
                        <w:t>proxy</w:t>
                      </w:r>
                    </w:p>
                  </w:txbxContent>
                </v:textbox>
              </v:shape>
            </w:pict>
          </mc:Fallback>
        </mc:AlternateContent>
      </w:r>
      <w:r>
        <w:rPr>
          <w:noProof/>
          <w:lang w:eastAsia="en-US"/>
        </w:rPr>
        <mc:AlternateContent>
          <mc:Choice Requires="wpg">
            <w:drawing>
              <wp:anchor distT="0" distB="0" distL="114300" distR="114300" simplePos="0" relativeHeight="251666432" behindDoc="0" locked="0" layoutInCell="1" allowOverlap="1" wp14:anchorId="19652C93" wp14:editId="6A24D24E">
                <wp:simplePos x="0" y="0"/>
                <wp:positionH relativeFrom="column">
                  <wp:posOffset>744007</wp:posOffset>
                </wp:positionH>
                <wp:positionV relativeFrom="paragraph">
                  <wp:posOffset>4151</wp:posOffset>
                </wp:positionV>
                <wp:extent cx="3557175" cy="1511667"/>
                <wp:effectExtent l="0" t="0" r="24765" b="12700"/>
                <wp:wrapNone/>
                <wp:docPr id="9" name="Group 9"/>
                <wp:cNvGraphicFramePr/>
                <a:graphic xmlns:a="http://schemas.openxmlformats.org/drawingml/2006/main">
                  <a:graphicData uri="http://schemas.microsoft.com/office/word/2010/wordprocessingGroup">
                    <wpg:wgp>
                      <wpg:cNvGrpSpPr/>
                      <wpg:grpSpPr>
                        <a:xfrm>
                          <a:off x="0" y="0"/>
                          <a:ext cx="3557175" cy="1511667"/>
                          <a:chOff x="0" y="0"/>
                          <a:chExt cx="3557175" cy="1511667"/>
                        </a:xfrm>
                      </wpg:grpSpPr>
                      <wpg:grpSp>
                        <wpg:cNvPr id="6" name="Group 6"/>
                        <wpg:cNvGrpSpPr/>
                        <wpg:grpSpPr>
                          <a:xfrm>
                            <a:off x="0" y="0"/>
                            <a:ext cx="2637367" cy="977900"/>
                            <a:chOff x="0" y="0"/>
                            <a:chExt cx="2637367" cy="977900"/>
                          </a:xfrm>
                        </wpg:grpSpPr>
                        <wps:wsp>
                          <wps:cNvPr id="3" name="Rectangle 3"/>
                          <wps:cNvSpPr/>
                          <wps:spPr>
                            <a:xfrm>
                              <a:off x="0" y="0"/>
                              <a:ext cx="1290955" cy="35094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167467" y="0"/>
                              <a:ext cx="469900" cy="8636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803400" y="774700"/>
                              <a:ext cx="618067" cy="203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Rectangle 7"/>
                        <wps:cNvSpPr/>
                        <wps:spPr>
                          <a:xfrm>
                            <a:off x="2944051" y="1310817"/>
                            <a:ext cx="613124" cy="200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532D9BE" id="Group 9" o:spid="_x0000_s1026" style="position:absolute;margin-left:58.6pt;margin-top:.35pt;width:280.1pt;height:119.05pt;z-index:251666432" coordsize="35571,15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">
                <v:group id="Group 6" o:spid="_x0000_s1027" style="position:absolute;width:26373;height:9779" coordsize="26373,9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3" o:spid="_x0000_s1028" style="position:absolute;width:12909;height:3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MqxAAAANoAAAAPAAAAZHJzL2Rvd25yZXYueG1sRI9Ba8JA&#10;FITvgv9heUJvdaOF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HmT8yrEAAAA2gAAAA8A&#10;AAAAAAAAAAAAAAAABwIAAGRycy9kb3ducmV2LnhtbFBLBQYAAAAAAwADALcAAAD4AgAAAAA=&#10;" fillcolor="white [3212]" strokecolor="white [3212]" strokeweight="1pt"/>
                  <v:rect id="Rectangle 4" o:spid="_x0000_s1029" style="position:absolute;left:21674;width:4699;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mtexAAAANoAAAAPAAAAZHJzL2Rvd25yZXYueG1sRI9Ba8JA&#10;FITvgv9heUJvdaOU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PZ6a17EAAAA2gAAAA8A&#10;AAAAAAAAAAAAAAAABwIAAGRycy9kb3ducmV2LnhtbFBLBQYAAAAAAwADALcAAAD4AgAAAAA=&#10;" fillcolor="white [3212]" strokecolor="white [3212]" strokeweight="1pt"/>
                  <v:rect id="Rectangle 5" o:spid="_x0000_s1030" style="position:absolute;left:18034;top:7747;width:6180;height:2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s7FxAAAANoAAAAPAAAAZHJzL2Rvd25yZXYueG1sRI9Ba8JA&#10;FITvgv9heUJvdaPQ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Jk2zsXEAAAA2gAAAA8A&#10;AAAAAAAAAAAAAAAABwIAAGRycy9kb3ducmV2LnhtbFBLBQYAAAAAAwADALcAAAD4AgAAAAA=&#10;" fillcolor="white [3212]" strokecolor="white [3212]" strokeweight="1pt"/>
                </v:group>
                <v:rect id="Rectangle 7" o:spid="_x0000_s1031" style="position:absolute;left:29440;top:13108;width:613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" fillcolor="white [3212]" strokecolor="white [3212]" strokeweight="1pt"/>
              </v:group>
            </w:pict>
          </mc:Fallback>
        </mc:AlternateContent>
      </w:r>
      <w:r w:rsidR="0078027A">
        <w:rPr>
          <w:noProof/>
          <w:lang w:eastAsia="en-US"/>
        </w:rPr>
        <w:drawing>
          <wp:inline distT="0" distB="0" distL="0" distR="0" wp14:anchorId="3734FD4D" wp14:editId="5948C780">
            <wp:extent cx="6120765" cy="142663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6884" b="23220"/>
                    <a:stretch/>
                  </pic:blipFill>
                  <pic:spPr bwMode="auto">
                    <a:xfrm>
                      <a:off x="0" y="0"/>
                      <a:ext cx="6120765" cy="1426634"/>
                    </a:xfrm>
                    <a:prstGeom prst="rect">
                      <a:avLst/>
                    </a:prstGeom>
                    <a:ln>
                      <a:noFill/>
                    </a:ln>
                    <a:extLst>
                      <a:ext uri="{53640926-AAD7-44D8-BBD7-CCE9431645EC}">
                        <a14:shadowObscured xmlns:a14="http://schemas.microsoft.com/office/drawing/2010/main"/>
                      </a:ext>
                    </a:extLst>
                  </pic:spPr>
                </pic:pic>
              </a:graphicData>
            </a:graphic>
          </wp:inline>
        </w:drawing>
      </w:r>
    </w:p>
    <w:p w14:paraId="23B0126E" w14:textId="10B1D2D8" w:rsidR="0078027A" w:rsidRPr="00CB4659" w:rsidRDefault="00C72D1C" w:rsidP="00C72D1C">
      <w:pPr>
        <w:pStyle w:val="Caption"/>
        <w:jc w:val="center"/>
      </w:pPr>
      <w:r>
        <w:t xml:space="preserve">Figure </w:t>
      </w:r>
      <w:r>
        <w:fldChar w:fldCharType="begin"/>
      </w:r>
      <w:r>
        <w:instrText xml:space="preserve"> SEQ Figure \* ARABIC </w:instrText>
      </w:r>
      <w:r>
        <w:fldChar w:fldCharType="separate"/>
      </w:r>
      <w:r w:rsidR="00A75A42">
        <w:rPr>
          <w:noProof/>
        </w:rPr>
        <w:t>4</w:t>
      </w:r>
      <w:r>
        <w:fldChar w:fldCharType="end"/>
      </w:r>
      <w:r>
        <w:t xml:space="preserve"> - EPC architecture with full CN onboard</w:t>
      </w:r>
    </w:p>
    <w:p w14:paraId="70123369" w14:textId="68E50ADF" w:rsidR="00EA6FD5" w:rsidRDefault="00C72D1C" w:rsidP="00AE7C06">
      <w:r>
        <w:lastRenderedPageBreak/>
        <w:t>The intermittent feeder link supports the SGi interface between the P-GTW and the IP network. This interface is outside of the RAN3 scope. SA2 recommend to handle the mobility on this interface using a proxy, that is outside of the 3GPP scope.</w:t>
      </w:r>
    </w:p>
    <w:p w14:paraId="35DEF4F0" w14:textId="389ED711" w:rsidR="00453F36" w:rsidRDefault="00453F36" w:rsidP="00453F36">
      <w:pPr>
        <w:pStyle w:val="Proposal"/>
      </w:pPr>
      <w:r>
        <w:t>For the Store and Forward architecture with full CN onboard there is no impacts on S1</w:t>
      </w:r>
    </w:p>
    <w:p w14:paraId="0C895879" w14:textId="62288BB1" w:rsidR="00B97FE6" w:rsidRDefault="00C72D1C" w:rsidP="00AE7C06">
      <w:r>
        <w:t xml:space="preserve">The </w:t>
      </w:r>
      <w:r w:rsidR="007B5F07">
        <w:t xml:space="preserve">split MME architecture </w:t>
      </w:r>
      <w:r w:rsidR="00B97FE6">
        <w:t xml:space="preserve">for </w:t>
      </w:r>
      <w:r w:rsidR="00B97FE6" w:rsidRPr="00B97FE6">
        <w:t xml:space="preserve">supporting S&amp;F satellite operation for SMS and CP CIoT services </w:t>
      </w:r>
      <w:r w:rsidR="007B5F07">
        <w:t xml:space="preserve">is </w:t>
      </w:r>
      <w:r w:rsidR="00A75A42">
        <w:t>presented in Figure 5</w:t>
      </w:r>
      <w:r w:rsidR="00B97FE6">
        <w:t>a</w:t>
      </w:r>
      <w:r w:rsidR="00A75A42">
        <w:t>.</w:t>
      </w:r>
    </w:p>
    <w:p w14:paraId="401BB60A" w14:textId="77777777" w:rsidR="00B97FE6" w:rsidRDefault="00B97FE6" w:rsidP="00B97FE6">
      <w:pPr>
        <w:rPr>
          <w:rFonts w:ascii="Times New Roman" w:hAnsi="Times New Roman"/>
          <w:lang w:val="en-GB" w:eastAsia="en-US"/>
        </w:rPr>
      </w:pPr>
      <w:r>
        <w:rPr>
          <w:rFonts w:ascii="Times New Roman" w:hAnsi="Times New Roman"/>
          <w:lang w:val="en-GB" w:eastAsia="en-US"/>
        </w:rPr>
        <w:object w:dxaOrig="9405" w:dyaOrig="4995" w14:anchorId="2D3AB418">
          <v:shape id="_x0000_i1026" type="#_x0000_t75" style="width:470.3pt;height:249.7pt" o:ole="">
            <v:imagedata r:id="rId16" o:title=""/>
          </v:shape>
          <o:OLEObject Type="Embed" ProgID="Visio.Drawing.15" ShapeID="_x0000_i1026" DrawAspect="Content" ObjectID="_1784680071" r:id="rId17"/>
        </w:object>
      </w:r>
    </w:p>
    <w:p w14:paraId="022375C1" w14:textId="13F2A191" w:rsidR="00B97FE6" w:rsidRDefault="00B97FE6" w:rsidP="00B97FE6">
      <w:pPr>
        <w:pStyle w:val="TF"/>
        <w:rPr>
          <w:rFonts w:cs="Arial"/>
        </w:rPr>
      </w:pPr>
      <w:r w:rsidRPr="00993767">
        <w:rPr>
          <w:rFonts w:cs="Arial"/>
          <w:lang w:val="en-GB"/>
        </w:rPr>
        <w:t>Fig</w:t>
      </w:r>
      <w:r>
        <w:rPr>
          <w:rFonts w:cs="Arial"/>
          <w:lang w:val="en-GB"/>
        </w:rPr>
        <w:t>ure 5a</w:t>
      </w:r>
      <w:r>
        <w:rPr>
          <w:rFonts w:cs="Arial"/>
        </w:rPr>
        <w:t xml:space="preserve">: </w:t>
      </w:r>
      <w:r>
        <w:t>EPC architecture with MME split</w:t>
      </w:r>
      <w:r>
        <w:rPr>
          <w:rFonts w:cs="Arial"/>
        </w:rPr>
        <w:t xml:space="preserve"> for supporting S&amp;F satellite operation for SMS and CP CIoT services</w:t>
      </w:r>
    </w:p>
    <w:p w14:paraId="3D2E1DD1" w14:textId="77777777" w:rsidR="00B97FE6" w:rsidRPr="002E27B9" w:rsidRDefault="00B97FE6" w:rsidP="00AE7C06">
      <w:pPr>
        <w:rPr>
          <w:lang w:val="x-none"/>
        </w:rPr>
      </w:pPr>
    </w:p>
    <w:p w14:paraId="2748F4A5" w14:textId="7EDB8329" w:rsidR="00B97FE6" w:rsidRDefault="00B97FE6" w:rsidP="00AE7C06">
      <w:r>
        <w:t>An extension of the split MME architecture in Figure 5a to consider also S1-U / UP</w:t>
      </w:r>
      <w:r w:rsidRPr="00B97FE6">
        <w:t xml:space="preserve"> CIoT services</w:t>
      </w:r>
      <w:r>
        <w:t xml:space="preserve"> is presented in Fig. 5a. Note that the architecture Figure 5b is a proposal in this paper and not an architecture taken from the conclusion of the SA2 study. </w:t>
      </w:r>
    </w:p>
    <w:p w14:paraId="63345B57" w14:textId="77777777" w:rsidR="00B97FE6" w:rsidRDefault="00B97FE6" w:rsidP="00AE7C06"/>
    <w:p w14:paraId="3FA496D8" w14:textId="77777777" w:rsidR="00A75A42" w:rsidRDefault="007B5F07" w:rsidP="00A75A42">
      <w:pPr>
        <w:keepNext/>
        <w:jc w:val="center"/>
      </w:pPr>
      <w:r>
        <w:rPr>
          <w:noProof/>
          <w:lang w:eastAsia="en-US"/>
        </w:rPr>
        <mc:AlternateContent>
          <mc:Choice Requires="wps">
            <w:drawing>
              <wp:anchor distT="0" distB="0" distL="114300" distR="114300" simplePos="0" relativeHeight="251677696" behindDoc="0" locked="0" layoutInCell="1" allowOverlap="1" wp14:anchorId="09EA8FE0" wp14:editId="0E24D66C">
                <wp:simplePos x="0" y="0"/>
                <wp:positionH relativeFrom="column">
                  <wp:posOffset>401067</wp:posOffset>
                </wp:positionH>
                <wp:positionV relativeFrom="paragraph">
                  <wp:posOffset>36364</wp:posOffset>
                </wp:positionV>
                <wp:extent cx="914400" cy="243135"/>
                <wp:effectExtent l="0" t="0" r="0" b="5080"/>
                <wp:wrapNone/>
                <wp:docPr id="25" name="Text Box 25"/>
                <wp:cNvGraphicFramePr/>
                <a:graphic xmlns:a="http://schemas.openxmlformats.org/drawingml/2006/main">
                  <a:graphicData uri="http://schemas.microsoft.com/office/word/2010/wordprocessingShape">
                    <wps:wsp>
                      <wps:cNvSpPr txBox="1"/>
                      <wps:spPr>
                        <a:xfrm>
                          <a:off x="0" y="0"/>
                          <a:ext cx="914400" cy="243135"/>
                        </a:xfrm>
                        <a:prstGeom prst="rect">
                          <a:avLst/>
                        </a:prstGeom>
                        <a:noFill/>
                        <a:ln w="6350">
                          <a:noFill/>
                        </a:ln>
                      </wps:spPr>
                      <wps:txbx>
                        <w:txbxContent>
                          <w:p w14:paraId="3072C383" w14:textId="77777777" w:rsidR="005C31D6" w:rsidRPr="00C72D1C" w:rsidRDefault="005C31D6" w:rsidP="007B5F07">
                            <w:pPr>
                              <w:rPr>
                                <w:color w:val="002060"/>
                                <w:lang w:val="fr-FR"/>
                                <w14:textOutline w14:w="9525" w14:cap="rnd" w14:cmpd="sng" w14:algn="ctr">
                                  <w14:noFill/>
                                  <w14:prstDash w14:val="solid"/>
                                  <w14:bevel/>
                                </w14:textOutline>
                              </w:rPr>
                            </w:pPr>
                            <w:r w:rsidRPr="00C72D1C">
                              <w:rPr>
                                <w:color w:val="002060"/>
                                <w:lang w:val="fr-FR"/>
                                <w14:textOutline w14:w="9525" w14:cap="rnd" w14:cmpd="sng" w14:algn="ctr">
                                  <w14:noFill/>
                                  <w14:prstDash w14:val="solid"/>
                                  <w14:bevel/>
                                </w14:textOutline>
                              </w:rPr>
                              <w:t>NTN payload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EA8FE0" id="Text Box 25" o:spid="_x0000_s1028" type="#_x0000_t202" style="position:absolute;left:0;text-align:left;margin-left:31.6pt;margin-top:2.85pt;width:1in;height:19.15pt;z-index:25167769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" filled="f" stroked="f" strokeweight=".5pt">
                <v:textbox>
                  <w:txbxContent>
                    <w:p w14:paraId="3072C383" w14:textId="77777777" w:rsidR="005C31D6" w:rsidRPr="00C72D1C" w:rsidRDefault="005C31D6" w:rsidP="007B5F07">
                      <w:pPr>
                        <w:rPr>
                          <w:color w:val="002060"/>
                          <w:lang w:val="fr-FR"/>
                          <w14:textOutline w14:w="9525" w14:cap="rnd" w14:cmpd="sng" w14:algn="ctr">
                            <w14:noFill/>
                            <w14:prstDash w14:val="solid"/>
                            <w14:bevel/>
                          </w14:textOutline>
                        </w:rPr>
                      </w:pPr>
                      <w:r w:rsidRPr="00C72D1C">
                        <w:rPr>
                          <w:color w:val="002060"/>
                          <w:lang w:val="fr-FR"/>
                          <w14:textOutline w14:w="9525" w14:cap="rnd" w14:cmpd="sng" w14:algn="ctr">
                            <w14:noFill/>
                            <w14:prstDash w14:val="solid"/>
                            <w14:bevel/>
                          </w14:textOutline>
                        </w:rPr>
                        <w:t>NTN payload</w:t>
                      </w:r>
                    </w:p>
                  </w:txbxContent>
                </v:textbox>
              </v:shape>
            </w:pict>
          </mc:Fallback>
        </mc:AlternateContent>
      </w:r>
      <w:r>
        <w:rPr>
          <w:noProof/>
          <w:lang w:eastAsia="en-US"/>
        </w:rPr>
        <mc:AlternateContent>
          <mc:Choice Requires="wps">
            <w:drawing>
              <wp:anchor distT="0" distB="0" distL="114300" distR="114300" simplePos="0" relativeHeight="251675648" behindDoc="0" locked="0" layoutInCell="1" allowOverlap="1" wp14:anchorId="377D6370" wp14:editId="1504E281">
                <wp:simplePos x="0" y="0"/>
                <wp:positionH relativeFrom="column">
                  <wp:posOffset>421589</wp:posOffset>
                </wp:positionH>
                <wp:positionV relativeFrom="paragraph">
                  <wp:posOffset>25172</wp:posOffset>
                </wp:positionV>
                <wp:extent cx="1373784" cy="1426137"/>
                <wp:effectExtent l="19050" t="19050" r="17145" b="22225"/>
                <wp:wrapNone/>
                <wp:docPr id="17" name="Rectangle 17"/>
                <wp:cNvGraphicFramePr/>
                <a:graphic xmlns:a="http://schemas.openxmlformats.org/drawingml/2006/main">
                  <a:graphicData uri="http://schemas.microsoft.com/office/word/2010/wordprocessingShape">
                    <wps:wsp>
                      <wps:cNvSpPr/>
                      <wps:spPr>
                        <a:xfrm>
                          <a:off x="0" y="0"/>
                          <a:ext cx="1373784" cy="1426137"/>
                        </a:xfrm>
                        <a:prstGeom prst="rect">
                          <a:avLst/>
                        </a:prstGeom>
                        <a:noFill/>
                        <a:ln w="2857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3693045" id="Rectangle 17" o:spid="_x0000_s1026" style="position:absolute;margin-left:33.2pt;margin-top:2pt;width:108.15pt;height:112.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" filled="f" strokecolor="#002060" strokeweight="2.25pt"/>
            </w:pict>
          </mc:Fallback>
        </mc:AlternateContent>
      </w:r>
      <w:r>
        <w:rPr>
          <w:noProof/>
          <w:lang w:eastAsia="en-US"/>
        </w:rPr>
        <mc:AlternateContent>
          <mc:Choice Requires="wpg">
            <w:drawing>
              <wp:anchor distT="0" distB="0" distL="114300" distR="114300" simplePos="0" relativeHeight="251674624" behindDoc="0" locked="0" layoutInCell="1" allowOverlap="1" wp14:anchorId="347E9B96" wp14:editId="528FDA77">
                <wp:simplePos x="0" y="0"/>
                <wp:positionH relativeFrom="column">
                  <wp:posOffset>713311</wp:posOffset>
                </wp:positionH>
                <wp:positionV relativeFrom="paragraph">
                  <wp:posOffset>-635</wp:posOffset>
                </wp:positionV>
                <wp:extent cx="3556635" cy="1511300"/>
                <wp:effectExtent l="0" t="0" r="24765" b="12700"/>
                <wp:wrapNone/>
                <wp:docPr id="18" name="Group 18"/>
                <wp:cNvGraphicFramePr/>
                <a:graphic xmlns:a="http://schemas.openxmlformats.org/drawingml/2006/main">
                  <a:graphicData uri="http://schemas.microsoft.com/office/word/2010/wordprocessingGroup">
                    <wpg:wgp>
                      <wpg:cNvGrpSpPr/>
                      <wpg:grpSpPr>
                        <a:xfrm>
                          <a:off x="0" y="0"/>
                          <a:ext cx="3556635" cy="1511300"/>
                          <a:chOff x="0" y="0"/>
                          <a:chExt cx="3557175" cy="1511667"/>
                        </a:xfrm>
                      </wpg:grpSpPr>
                      <wpg:grpSp>
                        <wpg:cNvPr id="19" name="Group 19"/>
                        <wpg:cNvGrpSpPr/>
                        <wpg:grpSpPr>
                          <a:xfrm>
                            <a:off x="0" y="0"/>
                            <a:ext cx="2637367" cy="977900"/>
                            <a:chOff x="0" y="0"/>
                            <a:chExt cx="2637367" cy="977900"/>
                          </a:xfrm>
                        </wpg:grpSpPr>
                        <wps:wsp>
                          <wps:cNvPr id="20" name="Rectangle 20"/>
                          <wps:cNvSpPr/>
                          <wps:spPr>
                            <a:xfrm>
                              <a:off x="0" y="0"/>
                              <a:ext cx="1290955" cy="35094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167467" y="0"/>
                              <a:ext cx="469900" cy="8636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803400" y="774700"/>
                              <a:ext cx="618067" cy="203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 name="Rectangle 23"/>
                        <wps:cNvSpPr/>
                        <wps:spPr>
                          <a:xfrm>
                            <a:off x="2944051" y="1310817"/>
                            <a:ext cx="613124" cy="200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FE3916A" id="Group 18" o:spid="_x0000_s1026" style="position:absolute;margin-left:56.15pt;margin-top:-.05pt;width:280.05pt;height:119pt;z-index:251674624" coordsize="35571,15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">
                <v:group id="Group 19" o:spid="_x0000_s1027" style="position:absolute;width:26373;height:9779" coordsize="26373,9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0" o:spid="_x0000_s1028" style="position:absolute;width:12909;height:3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" fillcolor="white [3212]" strokecolor="white [3212]" strokeweight="1pt"/>
                  <v:rect id="Rectangle 21" o:spid="_x0000_s1029" style="position:absolute;left:21674;width:4699;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" fillcolor="white [3212]" strokecolor="white [3212]" strokeweight="1pt"/>
                  <v:rect id="Rectangle 22" o:spid="_x0000_s1030" style="position:absolute;left:18034;top:7747;width:6180;height:2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" fillcolor="white [3212]" strokecolor="white [3212]" strokeweight="1pt"/>
                </v:group>
                <v:rect id="Rectangle 23" o:spid="_x0000_s1031" style="position:absolute;left:29440;top:13108;width:613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" fillcolor="white [3212]" strokecolor="white [3212]" strokeweight="1pt"/>
              </v:group>
            </w:pict>
          </mc:Fallback>
        </mc:AlternateContent>
      </w:r>
      <w:r>
        <w:rPr>
          <w:noProof/>
          <w:lang w:eastAsia="en-US"/>
        </w:rPr>
        <w:drawing>
          <wp:inline distT="0" distB="0" distL="0" distR="0" wp14:anchorId="26AC05CF" wp14:editId="6FFA760F">
            <wp:extent cx="6120765" cy="142621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6884" b="23220"/>
                    <a:stretch/>
                  </pic:blipFill>
                  <pic:spPr bwMode="auto">
                    <a:xfrm>
                      <a:off x="0" y="0"/>
                      <a:ext cx="6120765" cy="1426210"/>
                    </a:xfrm>
                    <a:prstGeom prst="rect">
                      <a:avLst/>
                    </a:prstGeom>
                    <a:ln>
                      <a:noFill/>
                    </a:ln>
                    <a:extLst>
                      <a:ext uri="{53640926-AAD7-44D8-BBD7-CCE9431645EC}">
                        <a14:shadowObscured xmlns:a14="http://schemas.microsoft.com/office/drawing/2010/main"/>
                      </a:ext>
                    </a:extLst>
                  </pic:spPr>
                </pic:pic>
              </a:graphicData>
            </a:graphic>
          </wp:inline>
        </w:drawing>
      </w:r>
    </w:p>
    <w:p w14:paraId="4BEC4933" w14:textId="690B68F5" w:rsidR="00C72D1C" w:rsidRDefault="00A75A42" w:rsidP="00A75A42">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rsidR="00B97FE6">
        <w:t>b</w:t>
      </w:r>
      <w:r>
        <w:t xml:space="preserve"> </w:t>
      </w:r>
      <w:r w:rsidR="00B97FE6">
        <w:t>–</w:t>
      </w:r>
      <w:r>
        <w:t xml:space="preserve"> EPC architecture with MME split</w:t>
      </w:r>
      <w:r w:rsidR="00B97FE6">
        <w:t xml:space="preserve"> for </w:t>
      </w:r>
      <w:r w:rsidR="00B97FE6" w:rsidRPr="00B97FE6">
        <w:t>supporting S&amp;F satellite operation for SMS</w:t>
      </w:r>
      <w:r w:rsidR="00B97FE6">
        <w:t xml:space="preserve">, </w:t>
      </w:r>
      <w:r w:rsidR="00B97FE6" w:rsidRPr="00B97FE6">
        <w:t>CP CIoT services</w:t>
      </w:r>
      <w:r w:rsidR="00B97FE6">
        <w:t xml:space="preserve">, </w:t>
      </w:r>
      <w:r w:rsidR="00B97FE6" w:rsidRPr="00B97FE6">
        <w:t>S1-U / UP CIoT services</w:t>
      </w:r>
      <w:r w:rsidR="00B97FE6">
        <w:t xml:space="preserve">. </w:t>
      </w:r>
    </w:p>
    <w:p w14:paraId="798ABEC7" w14:textId="77777777" w:rsidR="00B97FE6" w:rsidRDefault="00B97FE6" w:rsidP="00AE7C06"/>
    <w:p w14:paraId="748AC0CF" w14:textId="77777777" w:rsidR="00B97FE6" w:rsidRPr="002E27B9" w:rsidRDefault="00B97FE6" w:rsidP="00AE7C06">
      <w:pPr>
        <w:rPr>
          <w:lang w:val="x-none"/>
        </w:rPr>
      </w:pPr>
    </w:p>
    <w:p w14:paraId="337A72E3" w14:textId="77777777" w:rsidR="00B97FE6" w:rsidRDefault="00B97FE6" w:rsidP="00AE7C06"/>
    <w:p w14:paraId="0747904D" w14:textId="61059B38" w:rsidR="00B97FE6" w:rsidRDefault="00A75A42" w:rsidP="00AE7C06">
      <w:r>
        <w:t xml:space="preserve">In </w:t>
      </w:r>
      <w:r w:rsidR="00B97FE6">
        <w:t>both</w:t>
      </w:r>
      <w:r>
        <w:t xml:space="preserve"> architecture</w:t>
      </w:r>
      <w:r w:rsidR="00B97FE6">
        <w:t>s in Figure 5a and 5b</w:t>
      </w:r>
      <w:r>
        <w:t>, the NTN payload includes the E-UTRAN (i.e. eNB</w:t>
      </w:r>
      <w:r w:rsidR="00B94548">
        <w:t xml:space="preserve">) and </w:t>
      </w:r>
      <w:r>
        <w:t>a part of the MME</w:t>
      </w:r>
      <w:r w:rsidR="00B94548">
        <w:t xml:space="preserve">, the MME-onboard as defined in conclusion of KI#2 in [2]. The MME split is realized with an interface out </w:t>
      </w:r>
      <w:r w:rsidR="00B94548">
        <w:lastRenderedPageBreak/>
        <w:t>of scope of 3GPP through the intermittent Feeder link. The S1-MME interface is local to the NTN payload (so no impact on the specifications)</w:t>
      </w:r>
      <w:r w:rsidR="00B97FE6">
        <w:t xml:space="preserve"> and not modifications are foreseen here to support S&amp;F satellite operation</w:t>
      </w:r>
      <w:r w:rsidR="00B94548">
        <w:t xml:space="preserve">. </w:t>
      </w:r>
    </w:p>
    <w:p w14:paraId="33D52BD9" w14:textId="40644948" w:rsidR="007B5F07" w:rsidRDefault="00B97FE6" w:rsidP="00AE7C06">
      <w:r>
        <w:t>On the other hand, if S1-U and UP CIoT services are also to be supported, further discussion is necessary with respect to the need to split also the S-GW and have a S1-U interface local to the NTN payload or to study the impacts on the S1-U interface if it has to be deployed over the feeder link as represented in Figure 5b, where t</w:t>
      </w:r>
      <w:r w:rsidR="00B94548">
        <w:t>he S1-U between E-UTRAN and S-GTW is transported through the intermittent Feeder link.</w:t>
      </w:r>
      <w:r w:rsidR="002E27B9">
        <w:t xml:space="preserve"> </w:t>
      </w:r>
    </w:p>
    <w:p w14:paraId="783141B1" w14:textId="222B8D5F" w:rsidR="00B9050B" w:rsidRDefault="00B97FE6" w:rsidP="00AE7C06">
      <w:r>
        <w:t>In such a case, t</w:t>
      </w:r>
      <w:r w:rsidR="00B94548">
        <w:t>he optimizations, if needed, to support S1</w:t>
      </w:r>
      <w:r>
        <w:t>-U</w:t>
      </w:r>
      <w:r w:rsidR="00EF7FB7">
        <w:t xml:space="preserve"> mobility are similar to the one for NG mobility for NR NTN for instance a suspend/resume mechanism to avoid disconnect/connect procedures.</w:t>
      </w:r>
      <w:r w:rsidR="00AE7C06">
        <w:t xml:space="preserve"> </w:t>
      </w:r>
      <w:r w:rsidR="00EF7FB7">
        <w:t>When the feeder link disconnect, either the satellite get it later and then, it suspends the connection without releasing it or the satellite will connect to another gateway, or the same after one or few revolution around the Earth. In this case, the suspend mechanism is less interesting since it needs to keep UE contexts</w:t>
      </w:r>
      <w:r w:rsidR="00AE7C06">
        <w:t>. The second scenario is more realistic than the first one, especially without ISL where the interruption could be long. The assumption is that current procedure works to handle S1-U mobility.</w:t>
      </w:r>
    </w:p>
    <w:p w14:paraId="3562DFFA" w14:textId="153E9DC3" w:rsidR="00453F36" w:rsidRDefault="00B97FE6" w:rsidP="00453F36">
      <w:pPr>
        <w:pStyle w:val="Proposal"/>
      </w:pPr>
      <w:r>
        <w:t xml:space="preserve">If S1-U / UP CIoT services are to be supported in S&amp;F mode with S1-U deployed over the feeder link, </w:t>
      </w:r>
      <w:r>
        <w:t>c</w:t>
      </w:r>
      <w:r w:rsidR="00453F36">
        <w:t>urrent S1(-U) procedure could be reuse</w:t>
      </w:r>
      <w:r>
        <w:t>d</w:t>
      </w:r>
      <w:r w:rsidR="00453F36">
        <w:t xml:space="preserve"> to support the MME split architecture for Store and Forward</w:t>
      </w:r>
      <w:r>
        <w:t xml:space="preserve"> </w:t>
      </w:r>
      <w:r w:rsidRPr="002E27B9">
        <w:t>(This approach would also require the eNB being able to store the data from/to UEs and deliver over the S1-U interface when activated).</w:t>
      </w:r>
    </w:p>
    <w:p w14:paraId="1DB79305" w14:textId="43203C29" w:rsidR="00AE7C06" w:rsidRDefault="00AE7C06" w:rsidP="00AE7C06">
      <w:r>
        <w:t>The other aspect of the interm</w:t>
      </w:r>
      <w:r w:rsidR="00B76CC1">
        <w:t>ittent feeder link impacts lies in the different timers s</w:t>
      </w:r>
      <w:r w:rsidR="00080A08">
        <w:t xml:space="preserve">ince in the 3GPP specifications, </w:t>
      </w:r>
      <w:r w:rsidR="00B76CC1">
        <w:t>it</w:t>
      </w:r>
      <w:r w:rsidR="00080A08">
        <w:t xml:space="preserve"> is</w:t>
      </w:r>
      <w:r w:rsidR="00B76CC1">
        <w:t xml:space="preserve"> assumed a continuous connectivity between the core network components and the RAN. As explained in [8], relevant timers for the completion of attach, detach, tracking area updating, service request and paging procedure have been extended up to 255 seconds to support NB-IoT.</w:t>
      </w:r>
    </w:p>
    <w:tbl>
      <w:tblPr>
        <w:tblStyle w:val="GridTable2-Accent3"/>
        <w:tblW w:w="0" w:type="auto"/>
        <w:jc w:val="center"/>
        <w:tblLook w:val="04A0" w:firstRow="1" w:lastRow="0" w:firstColumn="1" w:lastColumn="0" w:noHBand="0" w:noVBand="1"/>
      </w:tblPr>
      <w:tblGrid>
        <w:gridCol w:w="2268"/>
        <w:gridCol w:w="1275"/>
        <w:gridCol w:w="1276"/>
        <w:gridCol w:w="1276"/>
        <w:gridCol w:w="1985"/>
      </w:tblGrid>
      <w:tr w:rsidR="00B76CC1" w14:paraId="0C542894" w14:textId="77777777" w:rsidTr="00BA520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8" w:type="dxa"/>
          </w:tcPr>
          <w:p w14:paraId="42A58E4E" w14:textId="77777777" w:rsidR="00B76CC1" w:rsidRDefault="00B76CC1" w:rsidP="005C31D6">
            <w:pPr>
              <w:snapToGrid w:val="0"/>
              <w:spacing w:after="60"/>
            </w:pPr>
            <w:r>
              <w:t xml:space="preserve">Procedure </w:t>
            </w:r>
          </w:p>
        </w:tc>
        <w:tc>
          <w:tcPr>
            <w:tcW w:w="1275" w:type="dxa"/>
          </w:tcPr>
          <w:p w14:paraId="645124AB" w14:textId="77777777" w:rsidR="00B76CC1" w:rsidRDefault="00B76CC1" w:rsidP="005C31D6">
            <w:pPr>
              <w:snapToGrid w:val="0"/>
              <w:spacing w:after="60"/>
              <w:cnfStyle w:val="100000000000" w:firstRow="1" w:lastRow="0" w:firstColumn="0" w:lastColumn="0" w:oddVBand="0" w:evenVBand="0" w:oddHBand="0" w:evenHBand="0" w:firstRowFirstColumn="0" w:firstRowLastColumn="0" w:lastRowFirstColumn="0" w:lastRowLastColumn="0"/>
            </w:pPr>
            <w:r>
              <w:rPr>
                <w:rFonts w:hint="eastAsia"/>
              </w:rPr>
              <w:t>T</w:t>
            </w:r>
            <w:r>
              <w:t>imer</w:t>
            </w:r>
          </w:p>
        </w:tc>
        <w:tc>
          <w:tcPr>
            <w:tcW w:w="1276" w:type="dxa"/>
          </w:tcPr>
          <w:p w14:paraId="17F8A843" w14:textId="77777777" w:rsidR="00B76CC1" w:rsidRDefault="00B76CC1" w:rsidP="005C31D6">
            <w:pPr>
              <w:snapToGrid w:val="0"/>
              <w:spacing w:after="60"/>
              <w:cnfStyle w:val="100000000000" w:firstRow="1" w:lastRow="0" w:firstColumn="0" w:lastColumn="0" w:oddVBand="0" w:evenVBand="0" w:oddHBand="0" w:evenHBand="0" w:firstRowFirstColumn="0" w:firstRowLastColumn="0" w:lastRowFirstColumn="0" w:lastRowLastColumn="0"/>
            </w:pPr>
            <w:r>
              <w:rPr>
                <w:rFonts w:hint="eastAsia"/>
              </w:rPr>
              <w:t>W</w:t>
            </w:r>
            <w:r>
              <w:t>B-S1</w:t>
            </w:r>
          </w:p>
        </w:tc>
        <w:tc>
          <w:tcPr>
            <w:tcW w:w="1276" w:type="dxa"/>
          </w:tcPr>
          <w:p w14:paraId="395BDAA5" w14:textId="77777777" w:rsidR="00B76CC1" w:rsidRDefault="00B76CC1" w:rsidP="005C31D6">
            <w:pPr>
              <w:snapToGrid w:val="0"/>
              <w:spacing w:after="60"/>
              <w:cnfStyle w:val="100000000000" w:firstRow="1" w:lastRow="0" w:firstColumn="0" w:lastColumn="0" w:oddVBand="0" w:evenVBand="0" w:oddHBand="0" w:evenHBand="0" w:firstRowFirstColumn="0" w:firstRowLastColumn="0" w:lastRowFirstColumn="0" w:lastRowLastColumn="0"/>
            </w:pPr>
            <w:r>
              <w:rPr>
                <w:rFonts w:hint="eastAsia"/>
              </w:rPr>
              <w:t>N</w:t>
            </w:r>
            <w:r>
              <w:t>B-S1</w:t>
            </w:r>
          </w:p>
        </w:tc>
        <w:tc>
          <w:tcPr>
            <w:tcW w:w="1985" w:type="dxa"/>
          </w:tcPr>
          <w:p w14:paraId="13DFD0A6" w14:textId="77777777" w:rsidR="00B76CC1" w:rsidRDefault="00B76CC1" w:rsidP="005C31D6">
            <w:pPr>
              <w:snapToGrid w:val="0"/>
              <w:spacing w:after="60"/>
              <w:cnfStyle w:val="100000000000" w:firstRow="1" w:lastRow="0" w:firstColumn="0" w:lastColumn="0" w:oddVBand="0" w:evenVBand="0" w:oddHBand="0" w:evenHBand="0" w:firstRowFirstColumn="0" w:firstRowLastColumn="0" w:lastRowFirstColumn="0" w:lastRowLastColumn="0"/>
            </w:pPr>
            <w:r>
              <w:rPr>
                <w:rFonts w:hint="eastAsia"/>
              </w:rPr>
              <w:t>N</w:t>
            </w:r>
            <w:r>
              <w:t>ote</w:t>
            </w:r>
          </w:p>
        </w:tc>
      </w:tr>
      <w:tr w:rsidR="00B76CC1" w14:paraId="7F9C7AA6" w14:textId="77777777" w:rsidTr="00BA520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8" w:type="dxa"/>
          </w:tcPr>
          <w:p w14:paraId="13A5790E" w14:textId="77777777" w:rsidR="00B76CC1" w:rsidRDefault="00B76CC1" w:rsidP="005C31D6">
            <w:pPr>
              <w:snapToGrid w:val="0"/>
              <w:spacing w:after="60"/>
            </w:pPr>
            <w:r>
              <w:rPr>
                <w:rFonts w:hint="eastAsia"/>
              </w:rPr>
              <w:t>A</w:t>
            </w:r>
            <w:r>
              <w:t>ttach</w:t>
            </w:r>
          </w:p>
        </w:tc>
        <w:tc>
          <w:tcPr>
            <w:tcW w:w="1275" w:type="dxa"/>
          </w:tcPr>
          <w:p w14:paraId="4E21C5E8"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rPr>
                <w:rFonts w:hint="eastAsia"/>
              </w:rPr>
              <w:t>T</w:t>
            </w:r>
            <w:r>
              <w:t>3410</w:t>
            </w:r>
          </w:p>
          <w:p w14:paraId="7830D5FF"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t>T3460</w:t>
            </w:r>
          </w:p>
          <w:p w14:paraId="6AF186D6" w14:textId="77777777" w:rsidR="00BA520D" w:rsidRDefault="00BA520D" w:rsidP="005C31D6">
            <w:pPr>
              <w:snapToGrid w:val="0"/>
              <w:spacing w:after="60"/>
              <w:cnfStyle w:val="000000100000" w:firstRow="0" w:lastRow="0" w:firstColumn="0" w:lastColumn="0" w:oddVBand="0" w:evenVBand="0" w:oddHBand="1" w:evenHBand="0" w:firstRowFirstColumn="0" w:firstRowLastColumn="0" w:lastRowFirstColumn="0" w:lastRowLastColumn="0"/>
            </w:pPr>
            <w:r>
              <w:t>T3411</w:t>
            </w:r>
          </w:p>
          <w:p w14:paraId="00B23B7D" w14:textId="7004162C" w:rsidR="00BA520D" w:rsidRDefault="00BA520D" w:rsidP="005C31D6">
            <w:pPr>
              <w:snapToGrid w:val="0"/>
              <w:spacing w:after="60"/>
              <w:cnfStyle w:val="000000100000" w:firstRow="0" w:lastRow="0" w:firstColumn="0" w:lastColumn="0" w:oddVBand="0" w:evenVBand="0" w:oddHBand="1" w:evenHBand="0" w:firstRowFirstColumn="0" w:firstRowLastColumn="0" w:lastRowFirstColumn="0" w:lastRowLastColumn="0"/>
            </w:pPr>
            <w:r>
              <w:t>T3402</w:t>
            </w:r>
          </w:p>
        </w:tc>
        <w:tc>
          <w:tcPr>
            <w:tcW w:w="1276" w:type="dxa"/>
          </w:tcPr>
          <w:p w14:paraId="50A0D498"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rPr>
                <w:rFonts w:hint="eastAsia"/>
              </w:rPr>
              <w:t>1</w:t>
            </w:r>
            <w:r>
              <w:t>5s</w:t>
            </w:r>
          </w:p>
          <w:p w14:paraId="7B72316E"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t>6s</w:t>
            </w:r>
          </w:p>
          <w:p w14:paraId="1DC29386" w14:textId="77777777" w:rsidR="00BA520D" w:rsidRDefault="00BA520D" w:rsidP="005C31D6">
            <w:pPr>
              <w:snapToGrid w:val="0"/>
              <w:spacing w:after="60"/>
              <w:cnfStyle w:val="000000100000" w:firstRow="0" w:lastRow="0" w:firstColumn="0" w:lastColumn="0" w:oddVBand="0" w:evenVBand="0" w:oddHBand="1" w:evenHBand="0" w:firstRowFirstColumn="0" w:firstRowLastColumn="0" w:lastRowFirstColumn="0" w:lastRowLastColumn="0"/>
            </w:pPr>
            <w:r>
              <w:t>10s</w:t>
            </w:r>
          </w:p>
          <w:p w14:paraId="4508AF2D" w14:textId="0369EF3D" w:rsidR="00BA520D" w:rsidRDefault="00BA520D" w:rsidP="005C31D6">
            <w:pPr>
              <w:snapToGrid w:val="0"/>
              <w:spacing w:after="60"/>
              <w:cnfStyle w:val="000000100000" w:firstRow="0" w:lastRow="0" w:firstColumn="0" w:lastColumn="0" w:oddVBand="0" w:evenVBand="0" w:oddHBand="1" w:evenHBand="0" w:firstRowFirstColumn="0" w:firstRowLastColumn="0" w:lastRowFirstColumn="0" w:lastRowLastColumn="0"/>
            </w:pPr>
            <w:r>
              <w:t>10mn</w:t>
            </w:r>
          </w:p>
        </w:tc>
        <w:tc>
          <w:tcPr>
            <w:tcW w:w="1276" w:type="dxa"/>
          </w:tcPr>
          <w:p w14:paraId="79351C1F"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rPr>
                <w:rFonts w:hint="eastAsia"/>
              </w:rPr>
              <w:t>2</w:t>
            </w:r>
            <w:r>
              <w:t>55s</w:t>
            </w:r>
          </w:p>
          <w:p w14:paraId="0584DC1C"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t>246s</w:t>
            </w:r>
          </w:p>
        </w:tc>
        <w:tc>
          <w:tcPr>
            <w:tcW w:w="1985" w:type="dxa"/>
          </w:tcPr>
          <w:p w14:paraId="791A6B39"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p>
          <w:p w14:paraId="5B68D7E6" w14:textId="77777777" w:rsidR="00BA520D" w:rsidRDefault="00BA520D" w:rsidP="005C31D6">
            <w:pPr>
              <w:snapToGrid w:val="0"/>
              <w:spacing w:after="60"/>
              <w:cnfStyle w:val="000000100000" w:firstRow="0" w:lastRow="0" w:firstColumn="0" w:lastColumn="0" w:oddVBand="0" w:evenVBand="0" w:oddHBand="1" w:evenHBand="0" w:firstRowFirstColumn="0" w:firstRowLastColumn="0" w:lastRowFirstColumn="0" w:lastRowLastColumn="0"/>
            </w:pPr>
          </w:p>
          <w:p w14:paraId="57ECB045" w14:textId="77777777" w:rsidR="00BA520D" w:rsidRDefault="00BA520D" w:rsidP="005C31D6">
            <w:pPr>
              <w:snapToGrid w:val="0"/>
              <w:spacing w:after="60"/>
              <w:cnfStyle w:val="000000100000" w:firstRow="0" w:lastRow="0" w:firstColumn="0" w:lastColumn="0" w:oddVBand="0" w:evenVBand="0" w:oddHBand="1" w:evenHBand="0" w:firstRowFirstColumn="0" w:firstRowLastColumn="0" w:lastRowFirstColumn="0" w:lastRowLastColumn="0"/>
            </w:pPr>
            <w:r>
              <w:t>UE-side</w:t>
            </w:r>
          </w:p>
          <w:p w14:paraId="54FCC19D" w14:textId="305AB636" w:rsidR="00BA520D" w:rsidRDefault="00BA520D" w:rsidP="005C31D6">
            <w:pPr>
              <w:snapToGrid w:val="0"/>
              <w:spacing w:after="60"/>
              <w:cnfStyle w:val="000000100000" w:firstRow="0" w:lastRow="0" w:firstColumn="0" w:lastColumn="0" w:oddVBand="0" w:evenVBand="0" w:oddHBand="1" w:evenHBand="0" w:firstRowFirstColumn="0" w:firstRowLastColumn="0" w:lastRowFirstColumn="0" w:lastRowLastColumn="0"/>
            </w:pPr>
            <w:r>
              <w:t>UE-side</w:t>
            </w:r>
          </w:p>
        </w:tc>
      </w:tr>
      <w:tr w:rsidR="00B76CC1" w14:paraId="5E091F88" w14:textId="77777777" w:rsidTr="00BA520D">
        <w:trPr>
          <w:jc w:val="center"/>
        </w:trPr>
        <w:tc>
          <w:tcPr>
            <w:cnfStyle w:val="001000000000" w:firstRow="0" w:lastRow="0" w:firstColumn="1" w:lastColumn="0" w:oddVBand="0" w:evenVBand="0" w:oddHBand="0" w:evenHBand="0" w:firstRowFirstColumn="0" w:firstRowLastColumn="0" w:lastRowFirstColumn="0" w:lastRowLastColumn="0"/>
            <w:tcW w:w="2268" w:type="dxa"/>
          </w:tcPr>
          <w:p w14:paraId="311A319C" w14:textId="77777777" w:rsidR="00B76CC1" w:rsidRDefault="00B76CC1" w:rsidP="005C31D6">
            <w:pPr>
              <w:snapToGrid w:val="0"/>
              <w:spacing w:after="60"/>
            </w:pPr>
            <w:r>
              <w:rPr>
                <w:rFonts w:hint="eastAsia"/>
              </w:rPr>
              <w:t>D</w:t>
            </w:r>
            <w:r>
              <w:t>etach</w:t>
            </w:r>
          </w:p>
        </w:tc>
        <w:tc>
          <w:tcPr>
            <w:tcW w:w="1275" w:type="dxa"/>
          </w:tcPr>
          <w:p w14:paraId="54EDF886"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rPr>
                <w:rFonts w:hint="eastAsia"/>
              </w:rPr>
              <w:t>T</w:t>
            </w:r>
            <w:r>
              <w:t>3421</w:t>
            </w:r>
          </w:p>
          <w:p w14:paraId="48641820"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t>T3422</w:t>
            </w:r>
          </w:p>
        </w:tc>
        <w:tc>
          <w:tcPr>
            <w:tcW w:w="1276" w:type="dxa"/>
          </w:tcPr>
          <w:p w14:paraId="42FE6F99"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rPr>
                <w:rFonts w:hint="eastAsia"/>
              </w:rPr>
              <w:t>1</w:t>
            </w:r>
            <w:r>
              <w:t>5s</w:t>
            </w:r>
          </w:p>
          <w:p w14:paraId="360C109B"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t>6s</w:t>
            </w:r>
          </w:p>
        </w:tc>
        <w:tc>
          <w:tcPr>
            <w:tcW w:w="1276" w:type="dxa"/>
          </w:tcPr>
          <w:p w14:paraId="07E5E3DA"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rPr>
                <w:rFonts w:hint="eastAsia"/>
              </w:rPr>
              <w:t>2</w:t>
            </w:r>
            <w:r>
              <w:t>55s</w:t>
            </w:r>
          </w:p>
          <w:p w14:paraId="1962D7FF"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t>246s</w:t>
            </w:r>
          </w:p>
        </w:tc>
        <w:tc>
          <w:tcPr>
            <w:tcW w:w="1985" w:type="dxa"/>
          </w:tcPr>
          <w:p w14:paraId="00051527"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p>
        </w:tc>
      </w:tr>
      <w:tr w:rsidR="00B76CC1" w14:paraId="23C3BC98" w14:textId="77777777" w:rsidTr="00BA520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8" w:type="dxa"/>
          </w:tcPr>
          <w:p w14:paraId="1F0B7E40" w14:textId="77777777" w:rsidR="00B76CC1" w:rsidRDefault="00B76CC1" w:rsidP="005C31D6">
            <w:pPr>
              <w:snapToGrid w:val="0"/>
              <w:spacing w:after="60"/>
            </w:pPr>
            <w:r>
              <w:rPr>
                <w:rFonts w:hint="eastAsia"/>
              </w:rPr>
              <w:t>T</w:t>
            </w:r>
            <w:r>
              <w:t>racking Area Updating</w:t>
            </w:r>
          </w:p>
        </w:tc>
        <w:tc>
          <w:tcPr>
            <w:tcW w:w="1275" w:type="dxa"/>
          </w:tcPr>
          <w:p w14:paraId="16F7166C"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rPr>
                <w:rFonts w:hint="eastAsia"/>
              </w:rPr>
              <w:t>T</w:t>
            </w:r>
            <w:r>
              <w:t>3430</w:t>
            </w:r>
          </w:p>
        </w:tc>
        <w:tc>
          <w:tcPr>
            <w:tcW w:w="1276" w:type="dxa"/>
          </w:tcPr>
          <w:p w14:paraId="2023F76A"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rPr>
                <w:rFonts w:hint="eastAsia"/>
              </w:rPr>
              <w:t>1</w:t>
            </w:r>
            <w:r>
              <w:t>5s</w:t>
            </w:r>
          </w:p>
        </w:tc>
        <w:tc>
          <w:tcPr>
            <w:tcW w:w="1276" w:type="dxa"/>
          </w:tcPr>
          <w:p w14:paraId="1ED7709B"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rPr>
                <w:rFonts w:hint="eastAsia"/>
              </w:rPr>
              <w:t>2</w:t>
            </w:r>
            <w:r>
              <w:t>55s</w:t>
            </w:r>
          </w:p>
        </w:tc>
        <w:tc>
          <w:tcPr>
            <w:tcW w:w="1985" w:type="dxa"/>
          </w:tcPr>
          <w:p w14:paraId="4A07AEA5"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p>
        </w:tc>
      </w:tr>
      <w:tr w:rsidR="00B76CC1" w14:paraId="33ECB4CA" w14:textId="77777777" w:rsidTr="00BA520D">
        <w:trPr>
          <w:jc w:val="center"/>
        </w:trPr>
        <w:tc>
          <w:tcPr>
            <w:cnfStyle w:val="001000000000" w:firstRow="0" w:lastRow="0" w:firstColumn="1" w:lastColumn="0" w:oddVBand="0" w:evenVBand="0" w:oddHBand="0" w:evenHBand="0" w:firstRowFirstColumn="0" w:firstRowLastColumn="0" w:lastRowFirstColumn="0" w:lastRowLastColumn="0"/>
            <w:tcW w:w="2268" w:type="dxa"/>
          </w:tcPr>
          <w:p w14:paraId="2726E617" w14:textId="77777777" w:rsidR="00B76CC1" w:rsidRDefault="00B76CC1" w:rsidP="005C31D6">
            <w:pPr>
              <w:snapToGrid w:val="0"/>
              <w:spacing w:after="60"/>
            </w:pPr>
            <w:r>
              <w:rPr>
                <w:rFonts w:hint="eastAsia"/>
              </w:rPr>
              <w:t>S</w:t>
            </w:r>
            <w:r>
              <w:t>ervice Request</w:t>
            </w:r>
          </w:p>
        </w:tc>
        <w:tc>
          <w:tcPr>
            <w:tcW w:w="1275" w:type="dxa"/>
          </w:tcPr>
          <w:p w14:paraId="1A55D627"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rPr>
                <w:rFonts w:hint="eastAsia"/>
              </w:rPr>
              <w:t>T</w:t>
            </w:r>
            <w:r>
              <w:t>3417</w:t>
            </w:r>
          </w:p>
          <w:p w14:paraId="6A0548D1"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t>T3417</w:t>
            </w:r>
          </w:p>
        </w:tc>
        <w:tc>
          <w:tcPr>
            <w:tcW w:w="1276" w:type="dxa"/>
          </w:tcPr>
          <w:p w14:paraId="67C77209"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rPr>
                <w:rFonts w:hint="eastAsia"/>
              </w:rPr>
              <w:t>5</w:t>
            </w:r>
            <w:r>
              <w:t>s</w:t>
            </w:r>
          </w:p>
          <w:p w14:paraId="696EA3A0"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t>10s</w:t>
            </w:r>
          </w:p>
        </w:tc>
        <w:tc>
          <w:tcPr>
            <w:tcW w:w="1276" w:type="dxa"/>
          </w:tcPr>
          <w:p w14:paraId="54882197"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rPr>
                <w:rFonts w:hint="eastAsia"/>
              </w:rPr>
              <w:t>2</w:t>
            </w:r>
            <w:r>
              <w:t>45s</w:t>
            </w:r>
          </w:p>
          <w:p w14:paraId="057D905A"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t>250s</w:t>
            </w:r>
          </w:p>
        </w:tc>
        <w:tc>
          <w:tcPr>
            <w:tcW w:w="1985" w:type="dxa"/>
          </w:tcPr>
          <w:p w14:paraId="3D176ECA"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rPr>
                <w:rFonts w:hint="eastAsia"/>
              </w:rPr>
              <w:t>N</w:t>
            </w:r>
            <w:r>
              <w:t>ormal</w:t>
            </w:r>
          </w:p>
          <w:p w14:paraId="470207A9" w14:textId="77777777" w:rsidR="00B76CC1" w:rsidRDefault="00B76CC1" w:rsidP="005C31D6">
            <w:pPr>
              <w:snapToGrid w:val="0"/>
              <w:spacing w:after="60"/>
              <w:cnfStyle w:val="000000000000" w:firstRow="0" w:lastRow="0" w:firstColumn="0" w:lastColumn="0" w:oddVBand="0" w:evenVBand="0" w:oddHBand="0" w:evenHBand="0" w:firstRowFirstColumn="0" w:firstRowLastColumn="0" w:lastRowFirstColumn="0" w:lastRowLastColumn="0"/>
            </w:pPr>
            <w:r>
              <w:t>Extended</w:t>
            </w:r>
          </w:p>
        </w:tc>
      </w:tr>
      <w:tr w:rsidR="00B76CC1" w14:paraId="4187F79C" w14:textId="77777777" w:rsidTr="00BA520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8" w:type="dxa"/>
          </w:tcPr>
          <w:p w14:paraId="1AE06D6C" w14:textId="77777777" w:rsidR="00B76CC1" w:rsidRDefault="00B76CC1" w:rsidP="005C31D6">
            <w:pPr>
              <w:snapToGrid w:val="0"/>
              <w:spacing w:after="60"/>
            </w:pPr>
            <w:r>
              <w:rPr>
                <w:rFonts w:hint="eastAsia"/>
              </w:rPr>
              <w:t>P</w:t>
            </w:r>
            <w:r>
              <w:t>aging</w:t>
            </w:r>
          </w:p>
        </w:tc>
        <w:tc>
          <w:tcPr>
            <w:tcW w:w="1275" w:type="dxa"/>
          </w:tcPr>
          <w:p w14:paraId="2ED27904"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rPr>
                <w:rFonts w:hint="eastAsia"/>
              </w:rPr>
              <w:t>T</w:t>
            </w:r>
            <w:r>
              <w:t>3413</w:t>
            </w:r>
          </w:p>
          <w:p w14:paraId="5B794B72"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t>T3413</w:t>
            </w:r>
          </w:p>
        </w:tc>
        <w:tc>
          <w:tcPr>
            <w:tcW w:w="1276" w:type="dxa"/>
          </w:tcPr>
          <w:p w14:paraId="575028B5"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p>
        </w:tc>
        <w:tc>
          <w:tcPr>
            <w:tcW w:w="1276" w:type="dxa"/>
          </w:tcPr>
          <w:p w14:paraId="39368EDB"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p>
        </w:tc>
        <w:tc>
          <w:tcPr>
            <w:tcW w:w="1985" w:type="dxa"/>
          </w:tcPr>
          <w:p w14:paraId="7D133EFF"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rPr>
                <w:rFonts w:hint="eastAsia"/>
              </w:rPr>
              <w:t>N</w:t>
            </w:r>
            <w:r>
              <w:t>etwork dependent</w:t>
            </w:r>
          </w:p>
          <w:p w14:paraId="6664BBDD" w14:textId="77777777" w:rsidR="00B76CC1" w:rsidRDefault="00B76CC1" w:rsidP="005C31D6">
            <w:pPr>
              <w:snapToGrid w:val="0"/>
              <w:spacing w:after="60"/>
              <w:cnfStyle w:val="000000100000" w:firstRow="0" w:lastRow="0" w:firstColumn="0" w:lastColumn="0" w:oddVBand="0" w:evenVBand="0" w:oddHBand="1" w:evenHBand="0" w:firstRowFirstColumn="0" w:firstRowLastColumn="0" w:lastRowFirstColumn="0" w:lastRowLastColumn="0"/>
            </w:pPr>
            <w:r>
              <w:t>Network dependent</w:t>
            </w:r>
          </w:p>
        </w:tc>
      </w:tr>
    </w:tbl>
    <w:p w14:paraId="29474058" w14:textId="77777777" w:rsidR="00B76CC1" w:rsidRDefault="00B76CC1" w:rsidP="00AE7C06"/>
    <w:p w14:paraId="2375E84C" w14:textId="77777777" w:rsidR="005C31D6" w:rsidRDefault="005C31D6" w:rsidP="00AE7C06">
      <w:r>
        <w:t>The bullet 2) to the conclusion of KI#2 in [2] gives the following procedure at least for Attach and TAU:</w:t>
      </w:r>
    </w:p>
    <w:tbl>
      <w:tblPr>
        <w:tblStyle w:val="TableGrid"/>
        <w:tblW w:w="0" w:type="auto"/>
        <w:tblLook w:val="04A0" w:firstRow="1" w:lastRow="0" w:firstColumn="1" w:lastColumn="0" w:noHBand="0" w:noVBand="1"/>
      </w:tblPr>
      <w:tblGrid>
        <w:gridCol w:w="9629"/>
      </w:tblGrid>
      <w:tr w:rsidR="005C31D6" w14:paraId="6E8F98E4" w14:textId="77777777" w:rsidTr="005C31D6">
        <w:tc>
          <w:tcPr>
            <w:tcW w:w="9629" w:type="dxa"/>
          </w:tcPr>
          <w:p w14:paraId="451C8BB0" w14:textId="77777777" w:rsidR="005C31D6" w:rsidRPr="005C31D6" w:rsidRDefault="005C31D6" w:rsidP="005C31D6">
            <w:pPr>
              <w:rPr>
                <w:sz w:val="20"/>
              </w:rPr>
            </w:pPr>
            <w:r w:rsidRPr="005C31D6">
              <w:rPr>
                <w:sz w:val="20"/>
              </w:rPr>
              <w:t xml:space="preserve">When UE initiates Attach or TAU procedure, it indicates support for S&amp;F mode </w:t>
            </w:r>
            <w:r w:rsidRPr="005C31D6">
              <w:rPr>
                <w:sz w:val="20"/>
                <w:highlight w:val="yellow"/>
              </w:rPr>
              <w:t>to the MME following existing NAS capability, the MME sends Attach or TAU Reject message to the UE</w:t>
            </w:r>
            <w:r w:rsidRPr="005C31D6">
              <w:rPr>
                <w:sz w:val="20"/>
              </w:rPr>
              <w:t xml:space="preserve"> if these procedures cannot be completed due to S&amp;F operation. The Attach or TAU Reject message includes:</w:t>
            </w:r>
          </w:p>
          <w:p w14:paraId="7327B34E" w14:textId="77777777" w:rsidR="005C31D6" w:rsidRPr="005C31D6" w:rsidRDefault="005C31D6" w:rsidP="005C31D6">
            <w:pPr>
              <w:rPr>
                <w:sz w:val="20"/>
              </w:rPr>
            </w:pPr>
            <w:r w:rsidRPr="005C31D6">
              <w:rPr>
                <w:sz w:val="20"/>
              </w:rPr>
              <w:t>a)</w:t>
            </w:r>
            <w:r w:rsidRPr="005C31D6">
              <w:rPr>
                <w:sz w:val="20"/>
              </w:rP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5516A568" w14:textId="77777777" w:rsidR="005C31D6" w:rsidRPr="005C31D6" w:rsidRDefault="005C31D6" w:rsidP="005C31D6">
            <w:pPr>
              <w:rPr>
                <w:sz w:val="20"/>
              </w:rPr>
            </w:pPr>
            <w:r w:rsidRPr="005C31D6">
              <w:rPr>
                <w:sz w:val="20"/>
              </w:rPr>
              <w:t>b)</w:t>
            </w:r>
            <w:r w:rsidRPr="005C31D6">
              <w:rPr>
                <w:sz w:val="20"/>
              </w:rPr>
              <w:tab/>
              <w:t>Wait timer: Indicates to the UE the time it should wait before re-attempting the Attach/TAU procedure in the current or another satellite of the same PLMN.</w:t>
            </w:r>
          </w:p>
          <w:p w14:paraId="00E865A2" w14:textId="60D45A2D" w:rsidR="005C31D6" w:rsidRDefault="005C31D6" w:rsidP="005C31D6">
            <w:r w:rsidRPr="005C31D6">
              <w:rPr>
                <w:sz w:val="20"/>
              </w:rPr>
              <w:t>c)</w:t>
            </w:r>
            <w:r w:rsidRPr="005C31D6">
              <w:rPr>
                <w:sz w:val="20"/>
              </w:rPr>
              <w:tab/>
              <w:t>Optionally, The list of Satellite IDs over which the UE may re-attempt the Attach/TAU procedure, after wait timer expires. The Satellite IDs are based on the SIB information broadcasted by eNB.</w:t>
            </w:r>
          </w:p>
        </w:tc>
      </w:tr>
    </w:tbl>
    <w:p w14:paraId="05E83F26" w14:textId="33ABDBD3" w:rsidR="00B9050B" w:rsidRDefault="00B9050B" w:rsidP="005C31D6">
      <w:r>
        <w:t>These methods to reject attachment or TAU re-use existing procedures with probable modifications of NAS messages to support wait timer. Further procedures will be discussed by SA2 during the normative phase and the security-related issues in MME split architecture will be handled by SA3.</w:t>
      </w:r>
    </w:p>
    <w:p w14:paraId="631CF608" w14:textId="7D17D346" w:rsidR="00080A08" w:rsidRDefault="00080A08" w:rsidP="00080A08">
      <w:pPr>
        <w:pStyle w:val="Observation"/>
      </w:pPr>
      <w:r>
        <w:lastRenderedPageBreak/>
        <w:t>The timers-related issues for Attach and TAU reject are handled by SA2</w:t>
      </w:r>
    </w:p>
    <w:p w14:paraId="2D4DD830" w14:textId="0F6754E6" w:rsidR="00080A08" w:rsidRDefault="00080A08" w:rsidP="00080A08">
      <w:pPr>
        <w:pStyle w:val="Observation"/>
      </w:pPr>
      <w:r>
        <w:t>The security-related issues with MME split architecture are handled by SA3</w:t>
      </w:r>
    </w:p>
    <w:p w14:paraId="4AB4B261" w14:textId="71EDD885" w:rsidR="00B9050B" w:rsidRDefault="00B9050B" w:rsidP="00B9050B">
      <w:r>
        <w:t>Note that in a multi-satellite architecture, S10 is carried through ISL. Further message exchange will be needed to support for instance, load balancing and data forwarding.</w:t>
      </w:r>
    </w:p>
    <w:p w14:paraId="4C984B8B" w14:textId="2DD709F8" w:rsidR="00080A08" w:rsidRPr="001B1C9D" w:rsidRDefault="00080A08" w:rsidP="00080A08">
      <w:pPr>
        <w:pStyle w:val="Observation"/>
      </w:pPr>
      <w:bookmarkStart w:id="2" w:name="_GoBack"/>
      <w:r>
        <w:t>Further message exchange between satellite (eNB + MME) are to be discussed if multi-satellite architecture is considered</w:t>
      </w:r>
    </w:p>
    <w:bookmarkEnd w:id="2"/>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7E08B161" w14:textId="6BACAF0F" w:rsidR="008E065E" w:rsidRDefault="008E065E" w:rsidP="008E065E">
      <w:pPr>
        <w:pStyle w:val="BodyText"/>
      </w:pPr>
      <w:r w:rsidRPr="00264B7E">
        <w:t xml:space="preserve">In </w:t>
      </w:r>
      <w:r w:rsidR="007729A2" w:rsidRPr="00264B7E">
        <w:t xml:space="preserve">the previous </w:t>
      </w:r>
      <w:r w:rsidRPr="00264B7E">
        <w:t>section</w:t>
      </w:r>
      <w:r w:rsidR="007729A2" w:rsidRPr="00264B7E">
        <w:t>s</w:t>
      </w:r>
      <w:r w:rsidRPr="00264B7E">
        <w:t xml:space="preserve"> we made the following observations</w:t>
      </w:r>
      <w:r w:rsidR="0033090B">
        <w:t xml:space="preserve"> and proposals</w:t>
      </w:r>
      <w:r w:rsidRPr="00264B7E">
        <w:t>:</w:t>
      </w:r>
    </w:p>
    <w:p w14:paraId="296AFA7A" w14:textId="6BF381CF" w:rsidR="00831286" w:rsidRDefault="00831286" w:rsidP="00831286">
      <w:pPr>
        <w:pStyle w:val="Observation"/>
        <w:numPr>
          <w:ilvl w:val="0"/>
          <w:numId w:val="52"/>
        </w:numPr>
      </w:pPr>
      <w:r>
        <w:t>Store and forward Satellite operation needs support of the regenerative payload architecture for IoT NTN</w:t>
      </w:r>
    </w:p>
    <w:p w14:paraId="5BA0F440" w14:textId="77777777" w:rsidR="00831286" w:rsidRDefault="00831286" w:rsidP="00831286">
      <w:pPr>
        <w:pStyle w:val="Proposal"/>
        <w:numPr>
          <w:ilvl w:val="0"/>
          <w:numId w:val="53"/>
        </w:numPr>
      </w:pPr>
      <w:r>
        <w:t>Support the regenerative payload architecture in TS 36.300. The endorsed CR R3-243949 to support regenerative payload in NR NTN could be used as baseline</w:t>
      </w:r>
    </w:p>
    <w:p w14:paraId="7A8E8C63" w14:textId="77777777" w:rsidR="00831286" w:rsidRDefault="00831286" w:rsidP="00831286">
      <w:pPr>
        <w:pStyle w:val="Observation"/>
        <w:rPr>
          <w:lang w:eastAsia="en-GB"/>
        </w:rPr>
      </w:pPr>
      <w:r>
        <w:rPr>
          <w:lang w:eastAsia="en-GB"/>
        </w:rPr>
        <w:t>The UEs are informed via System Information of whether S&amp;F satellite operation mode is activated or not in an NTN cell. The procedure is out of the RAN3 scope</w:t>
      </w:r>
    </w:p>
    <w:p w14:paraId="278E81E7" w14:textId="77777777" w:rsidR="00831286" w:rsidRPr="00831286" w:rsidRDefault="00831286" w:rsidP="00831286">
      <w:pPr>
        <w:pStyle w:val="Proposal"/>
      </w:pPr>
      <w:r w:rsidRPr="00831286">
        <w:t xml:space="preserve">The multi-satellite support for Store and Forward Satellite operation (multi-satellite S&amp;F) should be considered as the baseline and general case, while restricting the number of satellites that can serve to a given UE to one (single-satellite S&amp;F) is a particular deployment case. </w:t>
      </w:r>
    </w:p>
    <w:p w14:paraId="53C3CD3A" w14:textId="77777777" w:rsidR="00831286" w:rsidRPr="00831286" w:rsidRDefault="00831286" w:rsidP="00831286">
      <w:pPr>
        <w:pStyle w:val="Proposal"/>
      </w:pPr>
      <w:r w:rsidRPr="00831286">
        <w:t>For the Store and Forward architecture with full CN onboard there is no impacts on S1</w:t>
      </w:r>
    </w:p>
    <w:p w14:paraId="2D618198" w14:textId="77777777" w:rsidR="00831286" w:rsidRDefault="00831286" w:rsidP="00831286">
      <w:pPr>
        <w:pStyle w:val="Proposal"/>
      </w:pPr>
      <w:r>
        <w:t xml:space="preserve">If S1-U / UP CIoT services are to be supported in S&amp;F mode with S1-U deployed over the feeder link, current S1(-U) procedure could be reused to support the MME split architecture for Store and Forward </w:t>
      </w:r>
      <w:r w:rsidRPr="002E27B9">
        <w:t>(This approach would also require the eNB being able to store the data from/to UEs and deliver over the S1-U interface when activated).</w:t>
      </w:r>
    </w:p>
    <w:p w14:paraId="618D3071" w14:textId="77777777" w:rsidR="00831286" w:rsidRPr="00831286" w:rsidRDefault="00831286" w:rsidP="00831286">
      <w:pPr>
        <w:pStyle w:val="Observation"/>
        <w:numPr>
          <w:ilvl w:val="0"/>
          <w:numId w:val="52"/>
        </w:numPr>
      </w:pPr>
      <w:r w:rsidRPr="00831286">
        <w:t>The timers-related issues for Attach and TAU reject are handled by SA2</w:t>
      </w:r>
    </w:p>
    <w:p w14:paraId="5BD874EC" w14:textId="77777777" w:rsidR="00831286" w:rsidRDefault="00831286" w:rsidP="00831286">
      <w:pPr>
        <w:pStyle w:val="Observation"/>
        <w:numPr>
          <w:ilvl w:val="0"/>
          <w:numId w:val="52"/>
        </w:numPr>
      </w:pPr>
      <w:r>
        <w:t>The security-related issues with MME split architecture are handled by SA3</w:t>
      </w:r>
    </w:p>
    <w:p w14:paraId="77C7CA59" w14:textId="57D833F6" w:rsidR="00831286" w:rsidRDefault="00831286" w:rsidP="00831286">
      <w:pPr>
        <w:pStyle w:val="Observation"/>
        <w:numPr>
          <w:ilvl w:val="0"/>
          <w:numId w:val="52"/>
        </w:numPr>
      </w:pPr>
      <w:r w:rsidRPr="00831286">
        <w:t>Further message exchange between satellite (eNB + MME) are to be discussed if multi-satellite architecture is considered</w:t>
      </w:r>
    </w:p>
    <w:p w14:paraId="5AC4BD72" w14:textId="77777777" w:rsidR="00831286" w:rsidRDefault="00831286" w:rsidP="008E065E">
      <w:pPr>
        <w:pStyle w:val="BodyText"/>
      </w:pPr>
    </w:p>
    <w:p w14:paraId="0966406F" w14:textId="77777777" w:rsidR="00081197" w:rsidRDefault="00081197" w:rsidP="00831286">
      <w:pPr>
        <w:pStyle w:val="Proposal"/>
        <w:numPr>
          <w:ilvl w:val="0"/>
          <w:numId w:val="0"/>
        </w:numPr>
      </w:pPr>
    </w:p>
    <w:p w14:paraId="7BD5CFC3" w14:textId="77777777" w:rsidR="00F507D1" w:rsidRPr="00264B7E" w:rsidRDefault="00F507D1" w:rsidP="00CE0424">
      <w:pPr>
        <w:pStyle w:val="Heading1"/>
        <w:rPr>
          <w:lang w:val="en-US"/>
        </w:rPr>
      </w:pPr>
      <w:bookmarkStart w:id="3" w:name="_In-sequence_SDU_delivery"/>
      <w:bookmarkEnd w:id="3"/>
      <w:r w:rsidRPr="00264B7E">
        <w:rPr>
          <w:lang w:val="en-US"/>
        </w:rPr>
        <w:t>References</w:t>
      </w:r>
    </w:p>
    <w:p w14:paraId="3F3A7003" w14:textId="323A5981" w:rsidR="00F904D2" w:rsidRDefault="002F0C4A" w:rsidP="002F0C4A">
      <w:pPr>
        <w:pStyle w:val="Reference"/>
      </w:pPr>
      <w:bookmarkStart w:id="4" w:name="_Ref174151459"/>
      <w:bookmarkStart w:id="5" w:name="_Ref189809556"/>
      <w:r w:rsidRPr="00264B7E">
        <w:t>R</w:t>
      </w:r>
      <w:r>
        <w:t>P-241667</w:t>
      </w:r>
      <w:r w:rsidRPr="00264B7E">
        <w:t xml:space="preserve">, </w:t>
      </w:r>
      <w:r>
        <w:t>Revised</w:t>
      </w:r>
      <w:r w:rsidRPr="00264B7E">
        <w:t xml:space="preserve"> WID: Non-Terrestrial Networks (NTN) for NR Phase 3, </w:t>
      </w:r>
      <w:r>
        <w:t>RAN1 Vice-Chair, RAN#104, 2024-06</w:t>
      </w:r>
      <w:r w:rsidRPr="00264B7E">
        <w:t xml:space="preserve">, </w:t>
      </w:r>
      <w:r>
        <w:t>Shanghai, CN</w:t>
      </w:r>
      <w:r w:rsidRPr="00264B7E">
        <w:t>.</w:t>
      </w:r>
      <w:bookmarkEnd w:id="4"/>
      <w:bookmarkEnd w:id="5"/>
    </w:p>
    <w:p w14:paraId="26DA01F6" w14:textId="77777777" w:rsidR="00356223" w:rsidRDefault="00356223" w:rsidP="00356223">
      <w:pPr>
        <w:pStyle w:val="Reference"/>
      </w:pPr>
      <w:r>
        <w:t>TR 23.700-29, “</w:t>
      </w:r>
      <w:r w:rsidRPr="00A15140">
        <w:t>Study on integration of satellite components in the 5G architecture; Phase 3</w:t>
      </w:r>
      <w:r>
        <w:t>”, SA#104, 2024-06, Shanghai, CN.</w:t>
      </w:r>
    </w:p>
    <w:p w14:paraId="03886E80" w14:textId="748998DD" w:rsidR="00356223" w:rsidRDefault="001B1C9D" w:rsidP="002F0C4A">
      <w:pPr>
        <w:pStyle w:val="Reference"/>
      </w:pPr>
      <w:r>
        <w:t xml:space="preserve">TR 22.865, </w:t>
      </w:r>
      <w:r w:rsidRPr="00854324">
        <w:t>Study on satellite access Phase 3</w:t>
      </w:r>
      <w:r>
        <w:t>, v19.2.0, 2023-12.</w:t>
      </w:r>
    </w:p>
    <w:p w14:paraId="23D766FF" w14:textId="77777777" w:rsidR="001B1C9D" w:rsidRDefault="001B1C9D" w:rsidP="001B1C9D">
      <w:pPr>
        <w:pStyle w:val="Reference"/>
      </w:pPr>
      <w:r>
        <w:t xml:space="preserve">TR 22.261, </w:t>
      </w:r>
      <w:r w:rsidRPr="00854324">
        <w:t>Service requirements for the 5G system</w:t>
      </w:r>
      <w:r>
        <w:t>, v19.5.0, 2023-12.</w:t>
      </w:r>
    </w:p>
    <w:p w14:paraId="5DBA4C12" w14:textId="5AC3467D" w:rsidR="001B1C9D" w:rsidRDefault="001B1C9D" w:rsidP="001B1C9D">
      <w:pPr>
        <w:pStyle w:val="Reference"/>
      </w:pPr>
      <w:r>
        <w:t>TR 23.700-29, Study on integration of satellite components in the 5G architecture, v0.4.0, 2024-03.</w:t>
      </w:r>
    </w:p>
    <w:p w14:paraId="107421AD" w14:textId="1542A12C" w:rsidR="001B1C9D" w:rsidRDefault="001B1C9D" w:rsidP="001B1C9D">
      <w:pPr>
        <w:pStyle w:val="Reference"/>
      </w:pPr>
      <w:r>
        <w:t>R3-243949, “</w:t>
      </w:r>
      <w:fldSimple w:instr=" DOCPROPERTY  CrTitle  \* MERGEFORMAT ">
        <w:r>
          <w:t>Support for Regenerative Payload in NR NTN</w:t>
        </w:r>
      </w:fldSimple>
      <w:r>
        <w:t xml:space="preserve">”, RAN3#124, Ericsson et al., </w:t>
      </w:r>
      <w:r w:rsidR="00EA6FD5">
        <w:t>2024-05, Fukuoka, JP.</w:t>
      </w:r>
    </w:p>
    <w:p w14:paraId="382DD7E5" w14:textId="2B0DB56F" w:rsidR="00CB4659" w:rsidRPr="00B76CC1" w:rsidRDefault="00CB4659" w:rsidP="001B1C9D">
      <w:pPr>
        <w:pStyle w:val="Reference"/>
      </w:pPr>
      <w:r>
        <w:rPr>
          <w:rFonts w:cs="Arial"/>
          <w:color w:val="222222"/>
          <w:shd w:val="clear" w:color="auto" w:fill="FFFFFF"/>
        </w:rPr>
        <w:t>Sciddurlo, Giancarlo, et al. "Looking at NB-IoT over LEO satellite systems: Design and evaluation of a service-oriented solution." </w:t>
      </w:r>
      <w:r>
        <w:rPr>
          <w:rFonts w:cs="Arial"/>
          <w:i/>
          <w:iCs/>
          <w:color w:val="222222"/>
          <w:shd w:val="clear" w:color="auto" w:fill="FFFFFF"/>
        </w:rPr>
        <w:t>IEEE Internet of Things Journal</w:t>
      </w:r>
      <w:r>
        <w:rPr>
          <w:rFonts w:cs="Arial"/>
          <w:color w:val="222222"/>
          <w:shd w:val="clear" w:color="auto" w:fill="FFFFFF"/>
        </w:rPr>
        <w:t> 9.16 (2021): 14952-14964.</w:t>
      </w:r>
    </w:p>
    <w:p w14:paraId="47F62A5B" w14:textId="6BD13A68" w:rsidR="00B76CC1" w:rsidRPr="00831286" w:rsidRDefault="00B76CC1" w:rsidP="001B1C9D">
      <w:pPr>
        <w:pStyle w:val="Reference"/>
      </w:pPr>
      <w:r>
        <w:rPr>
          <w:rFonts w:cs="Arial"/>
          <w:color w:val="222222"/>
          <w:shd w:val="clear" w:color="auto" w:fill="FFFFFF"/>
        </w:rPr>
        <w:t>Kellermann, Timo, et al. "Novel architecture for cellular IoT in future non-terrestrial networks: store and forward adaptations for enabling discontinuous feeder link operation." </w:t>
      </w:r>
      <w:r>
        <w:rPr>
          <w:rFonts w:cs="Arial"/>
          <w:i/>
          <w:iCs/>
          <w:color w:val="222222"/>
          <w:shd w:val="clear" w:color="auto" w:fill="FFFFFF"/>
        </w:rPr>
        <w:t>IEEE access</w:t>
      </w:r>
      <w:r>
        <w:rPr>
          <w:rFonts w:cs="Arial"/>
          <w:color w:val="222222"/>
          <w:shd w:val="clear" w:color="auto" w:fill="FFFFFF"/>
        </w:rPr>
        <w:t> 10 (2022): 68922-68936.</w:t>
      </w:r>
    </w:p>
    <w:p w14:paraId="1BD944DC" w14:textId="584827C5" w:rsidR="001E5E2F" w:rsidRPr="00264B7E" w:rsidRDefault="001E5E2F" w:rsidP="001B1C9D">
      <w:pPr>
        <w:pStyle w:val="Reference"/>
      </w:pPr>
      <w:r w:rsidRPr="001E5E2F">
        <w:lastRenderedPageBreak/>
        <w:t>R2-2107453</w:t>
      </w:r>
      <w:r>
        <w:t>, “</w:t>
      </w:r>
      <w:r w:rsidRPr="001E5E2F">
        <w:t>On LEO satellite flyover timing and discontinuous coverage</w:t>
      </w:r>
      <w:r>
        <w:t xml:space="preserve">”; Eutelsat, </w:t>
      </w:r>
      <w:r w:rsidRPr="001E5E2F">
        <w:t>August 9th - 27th, 2021</w:t>
      </w:r>
      <w:r w:rsidR="006709D0">
        <w:t>, RAN2</w:t>
      </w:r>
      <w:r w:rsidR="006709D0" w:rsidRPr="006709D0">
        <w:t>#115-e</w:t>
      </w:r>
    </w:p>
    <w:sectPr w:rsidR="001E5E2F" w:rsidRPr="00264B7E"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819B" w16cex:dateUtc="2024-08-08T15:40:00Z"/>
  <w16cex:commentExtensible w16cex:durableId="2A5F8483" w16cex:dateUtc="2024-08-08T15:53:00Z"/>
  <w16cex:commentExtensible w16cex:durableId="2A5F8536" w16cex:dateUtc="2024-08-08T15:56:00Z"/>
  <w16cex:commentExtensible w16cex:durableId="2A5F8773" w16cex:dateUtc="2024-08-08T16:05:00Z"/>
  <w16cex:commentExtensible w16cex:durableId="2A5F88B1" w16cex:dateUtc="2024-08-08T16:10:00Z"/>
  <w16cex:commentExtensible w16cex:durableId="2A5F8C91" w16cex:dateUtc="2024-08-08T16:27:00Z"/>
  <w16cex:commentExtensible w16cex:durableId="2A5F8D00" w16cex:dateUtc="2024-08-08T16:29:00Z"/>
  <w16cex:commentExtensible w16cex:durableId="2A5F950A" w16cex:dateUtc="2024-08-08T17:03:00Z"/>
  <w16cex:commentExtensible w16cex:durableId="2A5F9576" w16cex:dateUtc="2024-08-08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129559" w16cid:durableId="2A5F819B"/>
  <w16cid:commentId w16cid:paraId="7660934F" w16cid:durableId="2A5F8483"/>
  <w16cid:commentId w16cid:paraId="1B06D87F" w16cid:durableId="2A5F8536"/>
  <w16cid:commentId w16cid:paraId="2EDD5A92" w16cid:durableId="2A5F8773"/>
  <w16cid:commentId w16cid:paraId="7F8FED40" w16cid:durableId="2A5F88B1"/>
  <w16cid:commentId w16cid:paraId="76D85B68" w16cid:durableId="2A5F8C91"/>
  <w16cid:commentId w16cid:paraId="04E42AA2" w16cid:durableId="2A5F8D00"/>
  <w16cid:commentId w16cid:paraId="3B8555C9" w16cid:durableId="2A5F950A"/>
  <w16cid:commentId w16cid:paraId="358350D7" w16cid:durableId="2A5F957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F3574" w14:textId="77777777" w:rsidR="006428A2" w:rsidRDefault="006428A2">
      <w:r>
        <w:separator/>
      </w:r>
    </w:p>
  </w:endnote>
  <w:endnote w:type="continuationSeparator" w:id="0">
    <w:p w14:paraId="5D42B3ED" w14:textId="77777777" w:rsidR="006428A2" w:rsidRDefault="006428A2">
      <w:r>
        <w:continuationSeparator/>
      </w:r>
    </w:p>
  </w:endnote>
  <w:endnote w:type="continuationNotice" w:id="1">
    <w:p w14:paraId="31D91189" w14:textId="77777777" w:rsidR="006428A2" w:rsidRDefault="006428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063A7521" w:rsidR="005C31D6" w:rsidRDefault="005C31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1286">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286">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D98F9" w14:textId="77777777" w:rsidR="006428A2" w:rsidRDefault="006428A2">
      <w:r>
        <w:separator/>
      </w:r>
    </w:p>
  </w:footnote>
  <w:footnote w:type="continuationSeparator" w:id="0">
    <w:p w14:paraId="6DB87113" w14:textId="77777777" w:rsidR="006428A2" w:rsidRDefault="006428A2">
      <w:r>
        <w:continuationSeparator/>
      </w:r>
    </w:p>
  </w:footnote>
  <w:footnote w:type="continuationNotice" w:id="1">
    <w:p w14:paraId="665E188F" w14:textId="77777777" w:rsidR="006428A2" w:rsidRDefault="006428A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5C31D6" w:rsidRDefault="005C31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E27BE1"/>
    <w:multiLevelType w:val="hybridMultilevel"/>
    <w:tmpl w:val="4B36C8E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20793"/>
    <w:multiLevelType w:val="hybridMultilevel"/>
    <w:tmpl w:val="B90C85B2"/>
    <w:lvl w:ilvl="0" w:tplc="70946344">
      <w:start w:val="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2580"/>
    <w:multiLevelType w:val="hybridMultilevel"/>
    <w:tmpl w:val="44AA97E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430FE9A"/>
    <w:lvl w:ilvl="0" w:tplc="E0B6275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92A69"/>
    <w:multiLevelType w:val="hybridMultilevel"/>
    <w:tmpl w:val="4B36C8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0866114"/>
    <w:multiLevelType w:val="multilevel"/>
    <w:tmpl w:val="F4BA230E"/>
    <w:styleLink w:val="CurrentList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1505E"/>
    <w:multiLevelType w:val="hybridMultilevel"/>
    <w:tmpl w:val="052A8526"/>
    <w:lvl w:ilvl="0" w:tplc="6EEEF93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7E2992"/>
    <w:multiLevelType w:val="hybridMultilevel"/>
    <w:tmpl w:val="476EAC58"/>
    <w:lvl w:ilvl="0" w:tplc="E8524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8A6620"/>
    <w:multiLevelType w:val="multilevel"/>
    <w:tmpl w:val="4B36C8E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E303F26"/>
    <w:multiLevelType w:val="multilevel"/>
    <w:tmpl w:val="BDB07E96"/>
    <w:styleLink w:val="CurrentList3"/>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7"/>
  </w:num>
  <w:num w:numId="3">
    <w:abstractNumId w:val="21"/>
  </w:num>
  <w:num w:numId="4">
    <w:abstractNumId w:val="23"/>
  </w:num>
  <w:num w:numId="5">
    <w:abstractNumId w:val="17"/>
  </w:num>
  <w:num w:numId="6">
    <w:abstractNumId w:val="25"/>
  </w:num>
  <w:num w:numId="7">
    <w:abstractNumId w:val="32"/>
  </w:num>
  <w:num w:numId="8">
    <w:abstractNumId w:val="18"/>
  </w:num>
  <w:num w:numId="9">
    <w:abstractNumId w:val="14"/>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4"/>
  </w:num>
  <w:num w:numId="17">
    <w:abstractNumId w:val="9"/>
  </w:num>
  <w:num w:numId="18">
    <w:abstractNumId w:val="11"/>
  </w:num>
  <w:num w:numId="19">
    <w:abstractNumId w:val="6"/>
  </w:num>
  <w:num w:numId="20">
    <w:abstractNumId w:val="37"/>
  </w:num>
  <w:num w:numId="21">
    <w:abstractNumId w:val="20"/>
  </w:num>
  <w:num w:numId="22">
    <w:abstractNumId w:val="36"/>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8"/>
  </w:num>
  <w:num w:numId="25">
    <w:abstractNumId w:val="33"/>
  </w:num>
  <w:num w:numId="26">
    <w:abstractNumId w:val="13"/>
  </w:num>
  <w:num w:numId="27">
    <w:abstractNumId w:val="16"/>
  </w:num>
  <w:num w:numId="28">
    <w:abstractNumId w:val="7"/>
  </w:num>
  <w:num w:numId="29">
    <w:abstractNumId w:val="5"/>
  </w:num>
  <w:num w:numId="30">
    <w:abstractNumId w:val="22"/>
  </w:num>
  <w:num w:numId="31">
    <w:abstractNumId w:val="8"/>
  </w:num>
  <w:num w:numId="32">
    <w:abstractNumId w:val="41"/>
  </w:num>
  <w:num w:numId="33">
    <w:abstractNumId w:val="38"/>
  </w:num>
  <w:num w:numId="34">
    <w:abstractNumId w:val="15"/>
  </w:num>
  <w:num w:numId="35">
    <w:abstractNumId w:val="30"/>
    <w:lvlOverride w:ilvl="0">
      <w:startOverride w:val="1"/>
    </w:lvlOverride>
  </w:num>
  <w:num w:numId="36">
    <w:abstractNumId w:val="21"/>
    <w:lvlOverride w:ilvl="0">
      <w:startOverride w:val="1"/>
    </w:lvlOverride>
  </w:num>
  <w:num w:numId="37">
    <w:abstractNumId w:val="21"/>
  </w:num>
  <w:num w:numId="38">
    <w:abstractNumId w:val="21"/>
    <w:lvlOverride w:ilvl="0">
      <w:startOverride w:val="1"/>
    </w:lvlOverride>
  </w:num>
  <w:num w:numId="39">
    <w:abstractNumId w:val="21"/>
  </w:num>
  <w:num w:numId="40">
    <w:abstractNumId w:val="30"/>
    <w:lvlOverride w:ilvl="0">
      <w:startOverride w:val="1"/>
    </w:lvlOverride>
  </w:num>
  <w:num w:numId="41">
    <w:abstractNumId w:val="21"/>
    <w:lvlOverride w:ilvl="0">
      <w:startOverride w:val="1"/>
    </w:lvlOverride>
  </w:num>
  <w:num w:numId="42">
    <w:abstractNumId w:val="12"/>
  </w:num>
  <w:num w:numId="43">
    <w:abstractNumId w:val="35"/>
  </w:num>
  <w:num w:numId="44">
    <w:abstractNumId w:val="10"/>
  </w:num>
  <w:num w:numId="45">
    <w:abstractNumId w:val="26"/>
  </w:num>
  <w:num w:numId="46">
    <w:abstractNumId w:val="39"/>
  </w:num>
  <w:num w:numId="47">
    <w:abstractNumId w:val="19"/>
  </w:num>
  <w:num w:numId="48">
    <w:abstractNumId w:val="29"/>
  </w:num>
  <w:num w:numId="49">
    <w:abstractNumId w:val="30"/>
    <w:lvlOverride w:ilvl="0">
      <w:startOverride w:val="1"/>
    </w:lvlOverride>
  </w:num>
  <w:num w:numId="50">
    <w:abstractNumId w:val="40"/>
  </w:num>
  <w:num w:numId="51">
    <w:abstractNumId w:val="21"/>
    <w:lvlOverride w:ilvl="0">
      <w:startOverride w:val="1"/>
    </w:lvlOverride>
  </w:num>
  <w:num w:numId="52">
    <w:abstractNumId w:val="30"/>
    <w:lvlOverride w:ilvl="0">
      <w:startOverride w:val="1"/>
    </w:lvlOverride>
  </w:num>
  <w:num w:numId="53">
    <w:abstractNumId w:val="21"/>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11B28"/>
    <w:rsid w:val="00011E3E"/>
    <w:rsid w:val="00015D15"/>
    <w:rsid w:val="0002564D"/>
    <w:rsid w:val="00025ECA"/>
    <w:rsid w:val="000325B8"/>
    <w:rsid w:val="00034C15"/>
    <w:rsid w:val="00036BA1"/>
    <w:rsid w:val="00036FEA"/>
    <w:rsid w:val="000422E2"/>
    <w:rsid w:val="00042F22"/>
    <w:rsid w:val="000444EF"/>
    <w:rsid w:val="00051CD8"/>
    <w:rsid w:val="00051E08"/>
    <w:rsid w:val="00052204"/>
    <w:rsid w:val="00052A07"/>
    <w:rsid w:val="000534E3"/>
    <w:rsid w:val="0005606A"/>
    <w:rsid w:val="00057117"/>
    <w:rsid w:val="000616E7"/>
    <w:rsid w:val="0006487E"/>
    <w:rsid w:val="00065E1A"/>
    <w:rsid w:val="00077E5F"/>
    <w:rsid w:val="0008036A"/>
    <w:rsid w:val="00080A08"/>
    <w:rsid w:val="00081197"/>
    <w:rsid w:val="00081AE6"/>
    <w:rsid w:val="000855EB"/>
    <w:rsid w:val="00085B52"/>
    <w:rsid w:val="000866F2"/>
    <w:rsid w:val="0009009F"/>
    <w:rsid w:val="00091557"/>
    <w:rsid w:val="000924C1"/>
    <w:rsid w:val="000924F0"/>
    <w:rsid w:val="00093474"/>
    <w:rsid w:val="00093C82"/>
    <w:rsid w:val="0009510F"/>
    <w:rsid w:val="000A1B7B"/>
    <w:rsid w:val="000A56F2"/>
    <w:rsid w:val="000B2719"/>
    <w:rsid w:val="000B3A8F"/>
    <w:rsid w:val="000B4AB9"/>
    <w:rsid w:val="000B58C3"/>
    <w:rsid w:val="000B61E9"/>
    <w:rsid w:val="000C165A"/>
    <w:rsid w:val="000C2E19"/>
    <w:rsid w:val="000C4FC0"/>
    <w:rsid w:val="000D026F"/>
    <w:rsid w:val="000D0D07"/>
    <w:rsid w:val="000D4797"/>
    <w:rsid w:val="000E0527"/>
    <w:rsid w:val="000E1E92"/>
    <w:rsid w:val="000F06D6"/>
    <w:rsid w:val="000F0EB1"/>
    <w:rsid w:val="000F1106"/>
    <w:rsid w:val="000F1668"/>
    <w:rsid w:val="000F3BE9"/>
    <w:rsid w:val="000F3F6C"/>
    <w:rsid w:val="000F6DF3"/>
    <w:rsid w:val="001005FF"/>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40D59"/>
    <w:rsid w:val="001413FF"/>
    <w:rsid w:val="00151E23"/>
    <w:rsid w:val="001526E0"/>
    <w:rsid w:val="001551B5"/>
    <w:rsid w:val="00160157"/>
    <w:rsid w:val="001659C1"/>
    <w:rsid w:val="00173A8E"/>
    <w:rsid w:val="0017502C"/>
    <w:rsid w:val="0017647F"/>
    <w:rsid w:val="0018143F"/>
    <w:rsid w:val="00181FF8"/>
    <w:rsid w:val="00190AC1"/>
    <w:rsid w:val="0019341A"/>
    <w:rsid w:val="00197DF9"/>
    <w:rsid w:val="001A1165"/>
    <w:rsid w:val="001A1987"/>
    <w:rsid w:val="001A2564"/>
    <w:rsid w:val="001A6173"/>
    <w:rsid w:val="001A6CBA"/>
    <w:rsid w:val="001B0D97"/>
    <w:rsid w:val="001B1C9D"/>
    <w:rsid w:val="001B5A5D"/>
    <w:rsid w:val="001C1CE5"/>
    <w:rsid w:val="001C3D2A"/>
    <w:rsid w:val="001C5CB8"/>
    <w:rsid w:val="001D51BA"/>
    <w:rsid w:val="001D53E7"/>
    <w:rsid w:val="001D6342"/>
    <w:rsid w:val="001D6C45"/>
    <w:rsid w:val="001D6D53"/>
    <w:rsid w:val="001E1376"/>
    <w:rsid w:val="001E58E2"/>
    <w:rsid w:val="001E5E2F"/>
    <w:rsid w:val="001E7AED"/>
    <w:rsid w:val="001F3916"/>
    <w:rsid w:val="001F54C5"/>
    <w:rsid w:val="001F662C"/>
    <w:rsid w:val="001F7074"/>
    <w:rsid w:val="00200490"/>
    <w:rsid w:val="00201219"/>
    <w:rsid w:val="00201F3A"/>
    <w:rsid w:val="00203F96"/>
    <w:rsid w:val="0020497F"/>
    <w:rsid w:val="0020582B"/>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A82"/>
    <w:rsid w:val="00292EB7"/>
    <w:rsid w:val="0029504F"/>
    <w:rsid w:val="00296227"/>
    <w:rsid w:val="00296F44"/>
    <w:rsid w:val="0029777D"/>
    <w:rsid w:val="00297C72"/>
    <w:rsid w:val="002A055E"/>
    <w:rsid w:val="002A0FA9"/>
    <w:rsid w:val="002A1D4E"/>
    <w:rsid w:val="002A2869"/>
    <w:rsid w:val="002B24D6"/>
    <w:rsid w:val="002B3379"/>
    <w:rsid w:val="002B37A2"/>
    <w:rsid w:val="002B70F7"/>
    <w:rsid w:val="002C41E6"/>
    <w:rsid w:val="002D071A"/>
    <w:rsid w:val="002D34B2"/>
    <w:rsid w:val="002D48B0"/>
    <w:rsid w:val="002D5B37"/>
    <w:rsid w:val="002D7637"/>
    <w:rsid w:val="002E17F2"/>
    <w:rsid w:val="002E27B9"/>
    <w:rsid w:val="002E7CAE"/>
    <w:rsid w:val="002F0C4A"/>
    <w:rsid w:val="002F2771"/>
    <w:rsid w:val="002F37A9"/>
    <w:rsid w:val="00301CE6"/>
    <w:rsid w:val="0030256B"/>
    <w:rsid w:val="0030501F"/>
    <w:rsid w:val="00305C4E"/>
    <w:rsid w:val="00307BA1"/>
    <w:rsid w:val="00311702"/>
    <w:rsid w:val="00311E82"/>
    <w:rsid w:val="00313FD6"/>
    <w:rsid w:val="003143BD"/>
    <w:rsid w:val="00315363"/>
    <w:rsid w:val="003173F5"/>
    <w:rsid w:val="00317F3E"/>
    <w:rsid w:val="003203ED"/>
    <w:rsid w:val="00322C9F"/>
    <w:rsid w:val="00324D23"/>
    <w:rsid w:val="003267B7"/>
    <w:rsid w:val="0033090B"/>
    <w:rsid w:val="00331751"/>
    <w:rsid w:val="00334066"/>
    <w:rsid w:val="00334579"/>
    <w:rsid w:val="00335858"/>
    <w:rsid w:val="00336BDA"/>
    <w:rsid w:val="00340023"/>
    <w:rsid w:val="00342BD7"/>
    <w:rsid w:val="00346DB5"/>
    <w:rsid w:val="003477B1"/>
    <w:rsid w:val="00355902"/>
    <w:rsid w:val="00356223"/>
    <w:rsid w:val="00357380"/>
    <w:rsid w:val="003602D9"/>
    <w:rsid w:val="003604CE"/>
    <w:rsid w:val="00370E47"/>
    <w:rsid w:val="0037172B"/>
    <w:rsid w:val="00373D2C"/>
    <w:rsid w:val="003742AC"/>
    <w:rsid w:val="00377553"/>
    <w:rsid w:val="00377CE1"/>
    <w:rsid w:val="0038114C"/>
    <w:rsid w:val="00385BF0"/>
    <w:rsid w:val="00387186"/>
    <w:rsid w:val="003939FF"/>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7806"/>
    <w:rsid w:val="003D109F"/>
    <w:rsid w:val="003D2478"/>
    <w:rsid w:val="003D3C45"/>
    <w:rsid w:val="003D5B1F"/>
    <w:rsid w:val="003E15FA"/>
    <w:rsid w:val="003E3AA3"/>
    <w:rsid w:val="003E459D"/>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AA4"/>
    <w:rsid w:val="004242F4"/>
    <w:rsid w:val="00427248"/>
    <w:rsid w:val="0043624B"/>
    <w:rsid w:val="00437447"/>
    <w:rsid w:val="00441A92"/>
    <w:rsid w:val="004431DC"/>
    <w:rsid w:val="00444F56"/>
    <w:rsid w:val="00446488"/>
    <w:rsid w:val="004517AA"/>
    <w:rsid w:val="00452CAC"/>
    <w:rsid w:val="00452F0C"/>
    <w:rsid w:val="00453D9F"/>
    <w:rsid w:val="00453F36"/>
    <w:rsid w:val="00457565"/>
    <w:rsid w:val="00457B71"/>
    <w:rsid w:val="004669E2"/>
    <w:rsid w:val="00470C31"/>
    <w:rsid w:val="00471DE0"/>
    <w:rsid w:val="00472B41"/>
    <w:rsid w:val="004734D0"/>
    <w:rsid w:val="0047556B"/>
    <w:rsid w:val="004772FC"/>
    <w:rsid w:val="00477768"/>
    <w:rsid w:val="00482004"/>
    <w:rsid w:val="00492BC5"/>
    <w:rsid w:val="004964F1"/>
    <w:rsid w:val="004A16BC"/>
    <w:rsid w:val="004A2B94"/>
    <w:rsid w:val="004A4B33"/>
    <w:rsid w:val="004B1D5E"/>
    <w:rsid w:val="004B2559"/>
    <w:rsid w:val="004B46C9"/>
    <w:rsid w:val="004B49EF"/>
    <w:rsid w:val="004B6F6A"/>
    <w:rsid w:val="004B74BD"/>
    <w:rsid w:val="004B7C0C"/>
    <w:rsid w:val="004C1151"/>
    <w:rsid w:val="004C3898"/>
    <w:rsid w:val="004C6842"/>
    <w:rsid w:val="004D36B1"/>
    <w:rsid w:val="004D7EBD"/>
    <w:rsid w:val="004E2680"/>
    <w:rsid w:val="004E28F9"/>
    <w:rsid w:val="004E462E"/>
    <w:rsid w:val="004E56DC"/>
    <w:rsid w:val="004E76F4"/>
    <w:rsid w:val="004F0B4E"/>
    <w:rsid w:val="004F0B6C"/>
    <w:rsid w:val="004F2078"/>
    <w:rsid w:val="004F4DA3"/>
    <w:rsid w:val="00506557"/>
    <w:rsid w:val="0050677A"/>
    <w:rsid w:val="0050778A"/>
    <w:rsid w:val="005108D8"/>
    <w:rsid w:val="005116F9"/>
    <w:rsid w:val="005153A7"/>
    <w:rsid w:val="005219CF"/>
    <w:rsid w:val="00523E8F"/>
    <w:rsid w:val="00526F7F"/>
    <w:rsid w:val="005338C5"/>
    <w:rsid w:val="00534B59"/>
    <w:rsid w:val="0053662A"/>
    <w:rsid w:val="00536759"/>
    <w:rsid w:val="00537C62"/>
    <w:rsid w:val="005442EF"/>
    <w:rsid w:val="00546970"/>
    <w:rsid w:val="00547494"/>
    <w:rsid w:val="00554E19"/>
    <w:rsid w:val="0056121F"/>
    <w:rsid w:val="00562C19"/>
    <w:rsid w:val="00572505"/>
    <w:rsid w:val="005761DC"/>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31D6"/>
    <w:rsid w:val="005C74FB"/>
    <w:rsid w:val="005D0E32"/>
    <w:rsid w:val="005D1602"/>
    <w:rsid w:val="005D2381"/>
    <w:rsid w:val="005E385F"/>
    <w:rsid w:val="005E5B81"/>
    <w:rsid w:val="005F1560"/>
    <w:rsid w:val="005F2CB1"/>
    <w:rsid w:val="005F3025"/>
    <w:rsid w:val="005F618C"/>
    <w:rsid w:val="005F70BD"/>
    <w:rsid w:val="00600705"/>
    <w:rsid w:val="0060283C"/>
    <w:rsid w:val="00604F14"/>
    <w:rsid w:val="00611B83"/>
    <w:rsid w:val="00613257"/>
    <w:rsid w:val="00620A71"/>
    <w:rsid w:val="00620D80"/>
    <w:rsid w:val="006234A6"/>
    <w:rsid w:val="00627A83"/>
    <w:rsid w:val="00630001"/>
    <w:rsid w:val="006311B3"/>
    <w:rsid w:val="0063284C"/>
    <w:rsid w:val="00636398"/>
    <w:rsid w:val="006368D3"/>
    <w:rsid w:val="006377EC"/>
    <w:rsid w:val="0064151F"/>
    <w:rsid w:val="00641533"/>
    <w:rsid w:val="0064208D"/>
    <w:rsid w:val="006428A2"/>
    <w:rsid w:val="00643475"/>
    <w:rsid w:val="0064396A"/>
    <w:rsid w:val="00645AF8"/>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9D0"/>
    <w:rsid w:val="00670BE1"/>
    <w:rsid w:val="0067218F"/>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5FC1"/>
    <w:rsid w:val="006A697B"/>
    <w:rsid w:val="006A7AFF"/>
    <w:rsid w:val="006B1816"/>
    <w:rsid w:val="006B2099"/>
    <w:rsid w:val="006B280D"/>
    <w:rsid w:val="006B50CF"/>
    <w:rsid w:val="006B5887"/>
    <w:rsid w:val="006C03B8"/>
    <w:rsid w:val="006C3C3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3EBF"/>
    <w:rsid w:val="006F58D4"/>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23BF"/>
    <w:rsid w:val="007257D0"/>
    <w:rsid w:val="00726EA6"/>
    <w:rsid w:val="00727208"/>
    <w:rsid w:val="00727680"/>
    <w:rsid w:val="00732B7B"/>
    <w:rsid w:val="007348B1"/>
    <w:rsid w:val="007362A6"/>
    <w:rsid w:val="00736D7D"/>
    <w:rsid w:val="00740E58"/>
    <w:rsid w:val="007445A0"/>
    <w:rsid w:val="0074524B"/>
    <w:rsid w:val="00747D8B"/>
    <w:rsid w:val="00751228"/>
    <w:rsid w:val="00753B29"/>
    <w:rsid w:val="007558BC"/>
    <w:rsid w:val="007571E1"/>
    <w:rsid w:val="00757A16"/>
    <w:rsid w:val="007604B2"/>
    <w:rsid w:val="00761CCC"/>
    <w:rsid w:val="00765281"/>
    <w:rsid w:val="00766BAD"/>
    <w:rsid w:val="007729A2"/>
    <w:rsid w:val="007755F2"/>
    <w:rsid w:val="00776971"/>
    <w:rsid w:val="00777151"/>
    <w:rsid w:val="0078027A"/>
    <w:rsid w:val="00780A80"/>
    <w:rsid w:val="0078177E"/>
    <w:rsid w:val="0078304C"/>
    <w:rsid w:val="00783673"/>
    <w:rsid w:val="00783E21"/>
    <w:rsid w:val="0078484E"/>
    <w:rsid w:val="00785490"/>
    <w:rsid w:val="007925EA"/>
    <w:rsid w:val="00793CD8"/>
    <w:rsid w:val="00795C92"/>
    <w:rsid w:val="00796231"/>
    <w:rsid w:val="007A1CB3"/>
    <w:rsid w:val="007A306F"/>
    <w:rsid w:val="007A3648"/>
    <w:rsid w:val="007A43A6"/>
    <w:rsid w:val="007A58A6"/>
    <w:rsid w:val="007B3D2D"/>
    <w:rsid w:val="007B50AE"/>
    <w:rsid w:val="007B51DF"/>
    <w:rsid w:val="007B5F07"/>
    <w:rsid w:val="007C05DD"/>
    <w:rsid w:val="007C3D18"/>
    <w:rsid w:val="007C60BF"/>
    <w:rsid w:val="007C6A07"/>
    <w:rsid w:val="007C75A1"/>
    <w:rsid w:val="007C77A5"/>
    <w:rsid w:val="007D04E5"/>
    <w:rsid w:val="007D1D9D"/>
    <w:rsid w:val="007D5901"/>
    <w:rsid w:val="007D752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D6F"/>
    <w:rsid w:val="00830FA7"/>
    <w:rsid w:val="00831286"/>
    <w:rsid w:val="0083493C"/>
    <w:rsid w:val="008376AC"/>
    <w:rsid w:val="008444E8"/>
    <w:rsid w:val="00844E80"/>
    <w:rsid w:val="00846FE7"/>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975E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24B33"/>
    <w:rsid w:val="00931BD9"/>
    <w:rsid w:val="009368F3"/>
    <w:rsid w:val="00937B32"/>
    <w:rsid w:val="00941636"/>
    <w:rsid w:val="00943742"/>
    <w:rsid w:val="00945C05"/>
    <w:rsid w:val="00946945"/>
    <w:rsid w:val="00947713"/>
    <w:rsid w:val="00950DE7"/>
    <w:rsid w:val="00952423"/>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3BB6"/>
    <w:rsid w:val="009A462D"/>
    <w:rsid w:val="009A5CBA"/>
    <w:rsid w:val="009A6635"/>
    <w:rsid w:val="009B1F30"/>
    <w:rsid w:val="009B2137"/>
    <w:rsid w:val="009B3AC2"/>
    <w:rsid w:val="009B4DF4"/>
    <w:rsid w:val="009B564E"/>
    <w:rsid w:val="009B5C28"/>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3143"/>
    <w:rsid w:val="00A031D8"/>
    <w:rsid w:val="00A048A8"/>
    <w:rsid w:val="00A04F49"/>
    <w:rsid w:val="00A1362C"/>
    <w:rsid w:val="00A13E54"/>
    <w:rsid w:val="00A17F63"/>
    <w:rsid w:val="00A2193B"/>
    <w:rsid w:val="00A2351A"/>
    <w:rsid w:val="00A264A9"/>
    <w:rsid w:val="00A26DCF"/>
    <w:rsid w:val="00A27785"/>
    <w:rsid w:val="00A30187"/>
    <w:rsid w:val="00A3448A"/>
    <w:rsid w:val="00A36297"/>
    <w:rsid w:val="00A41E2B"/>
    <w:rsid w:val="00A45B74"/>
    <w:rsid w:val="00A52E1D"/>
    <w:rsid w:val="00A573F6"/>
    <w:rsid w:val="00A609FB"/>
    <w:rsid w:val="00A61499"/>
    <w:rsid w:val="00A62A77"/>
    <w:rsid w:val="00A63483"/>
    <w:rsid w:val="00A657D7"/>
    <w:rsid w:val="00A660AC"/>
    <w:rsid w:val="00A67E6C"/>
    <w:rsid w:val="00A71B99"/>
    <w:rsid w:val="00A739D0"/>
    <w:rsid w:val="00A75A42"/>
    <w:rsid w:val="00A761D4"/>
    <w:rsid w:val="00A77EC4"/>
    <w:rsid w:val="00A851E6"/>
    <w:rsid w:val="00A87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C06"/>
    <w:rsid w:val="00AF1C5D"/>
    <w:rsid w:val="00AF42D7"/>
    <w:rsid w:val="00B006FE"/>
    <w:rsid w:val="00B007CB"/>
    <w:rsid w:val="00B02AA9"/>
    <w:rsid w:val="00B02FA3"/>
    <w:rsid w:val="00B05084"/>
    <w:rsid w:val="00B157F9"/>
    <w:rsid w:val="00B17665"/>
    <w:rsid w:val="00B20256"/>
    <w:rsid w:val="00B20D09"/>
    <w:rsid w:val="00B228AE"/>
    <w:rsid w:val="00B2763F"/>
    <w:rsid w:val="00B27AAC"/>
    <w:rsid w:val="00B30929"/>
    <w:rsid w:val="00B35037"/>
    <w:rsid w:val="00B35BF4"/>
    <w:rsid w:val="00B372AA"/>
    <w:rsid w:val="00B40445"/>
    <w:rsid w:val="00B409E0"/>
    <w:rsid w:val="00B41888"/>
    <w:rsid w:val="00B44DBD"/>
    <w:rsid w:val="00B45A52"/>
    <w:rsid w:val="00B46175"/>
    <w:rsid w:val="00B5116B"/>
    <w:rsid w:val="00B548B7"/>
    <w:rsid w:val="00B55E00"/>
    <w:rsid w:val="00B664C7"/>
    <w:rsid w:val="00B739F6"/>
    <w:rsid w:val="00B76CC1"/>
    <w:rsid w:val="00B81A6C"/>
    <w:rsid w:val="00B85DE5"/>
    <w:rsid w:val="00B9050B"/>
    <w:rsid w:val="00B90F73"/>
    <w:rsid w:val="00B92390"/>
    <w:rsid w:val="00B93B59"/>
    <w:rsid w:val="00B9406A"/>
    <w:rsid w:val="00B94548"/>
    <w:rsid w:val="00B97FE6"/>
    <w:rsid w:val="00BA2280"/>
    <w:rsid w:val="00BA2A08"/>
    <w:rsid w:val="00BA520D"/>
    <w:rsid w:val="00BA56D2"/>
    <w:rsid w:val="00BA76E0"/>
    <w:rsid w:val="00BB2A25"/>
    <w:rsid w:val="00BB3AE4"/>
    <w:rsid w:val="00BB51E9"/>
    <w:rsid w:val="00BC0FDC"/>
    <w:rsid w:val="00BC3053"/>
    <w:rsid w:val="00BC4D2E"/>
    <w:rsid w:val="00BC7A46"/>
    <w:rsid w:val="00BD18B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3C5E"/>
    <w:rsid w:val="00C64672"/>
    <w:rsid w:val="00C66CCB"/>
    <w:rsid w:val="00C67367"/>
    <w:rsid w:val="00C70697"/>
    <w:rsid w:val="00C72093"/>
    <w:rsid w:val="00C72D1C"/>
    <w:rsid w:val="00C72EF4"/>
    <w:rsid w:val="00C730D2"/>
    <w:rsid w:val="00C744FE"/>
    <w:rsid w:val="00C75D2F"/>
    <w:rsid w:val="00C767BE"/>
    <w:rsid w:val="00C76E3C"/>
    <w:rsid w:val="00C81568"/>
    <w:rsid w:val="00C876CC"/>
    <w:rsid w:val="00C9027A"/>
    <w:rsid w:val="00C9068E"/>
    <w:rsid w:val="00C93814"/>
    <w:rsid w:val="00C93C4B"/>
    <w:rsid w:val="00C944AB"/>
    <w:rsid w:val="00C95B40"/>
    <w:rsid w:val="00CA1ED8"/>
    <w:rsid w:val="00CB1F63"/>
    <w:rsid w:val="00CB4659"/>
    <w:rsid w:val="00CB7170"/>
    <w:rsid w:val="00CC040E"/>
    <w:rsid w:val="00CC111F"/>
    <w:rsid w:val="00CC2011"/>
    <w:rsid w:val="00CC3EA0"/>
    <w:rsid w:val="00CC4103"/>
    <w:rsid w:val="00CC4FCA"/>
    <w:rsid w:val="00CC525B"/>
    <w:rsid w:val="00CC6D8A"/>
    <w:rsid w:val="00CC7B45"/>
    <w:rsid w:val="00CD1096"/>
    <w:rsid w:val="00CD1188"/>
    <w:rsid w:val="00CD2ED1"/>
    <w:rsid w:val="00CD337B"/>
    <w:rsid w:val="00CD7E19"/>
    <w:rsid w:val="00CE0424"/>
    <w:rsid w:val="00CE706A"/>
    <w:rsid w:val="00CE7561"/>
    <w:rsid w:val="00CF1354"/>
    <w:rsid w:val="00CF1EAE"/>
    <w:rsid w:val="00CF38BB"/>
    <w:rsid w:val="00CF3B1F"/>
    <w:rsid w:val="00CF3BF6"/>
    <w:rsid w:val="00CF625B"/>
    <w:rsid w:val="00CF687E"/>
    <w:rsid w:val="00CF6D96"/>
    <w:rsid w:val="00D0349B"/>
    <w:rsid w:val="00D0387B"/>
    <w:rsid w:val="00D10249"/>
    <w:rsid w:val="00D115C3"/>
    <w:rsid w:val="00D11897"/>
    <w:rsid w:val="00D13135"/>
    <w:rsid w:val="00D13E4E"/>
    <w:rsid w:val="00D22D6A"/>
    <w:rsid w:val="00D239A7"/>
    <w:rsid w:val="00D23F47"/>
    <w:rsid w:val="00D26636"/>
    <w:rsid w:val="00D33E80"/>
    <w:rsid w:val="00D36BB9"/>
    <w:rsid w:val="00D36E71"/>
    <w:rsid w:val="00D37D87"/>
    <w:rsid w:val="00D4081C"/>
    <w:rsid w:val="00D40B33"/>
    <w:rsid w:val="00D4318F"/>
    <w:rsid w:val="00D438BF"/>
    <w:rsid w:val="00D440F8"/>
    <w:rsid w:val="00D546FF"/>
    <w:rsid w:val="00D55AD5"/>
    <w:rsid w:val="00D576CA"/>
    <w:rsid w:val="00D57BFF"/>
    <w:rsid w:val="00D60AB7"/>
    <w:rsid w:val="00D61AF5"/>
    <w:rsid w:val="00D652B5"/>
    <w:rsid w:val="00D66155"/>
    <w:rsid w:val="00D708B0"/>
    <w:rsid w:val="00D70C61"/>
    <w:rsid w:val="00D730E9"/>
    <w:rsid w:val="00D77B1D"/>
    <w:rsid w:val="00D8021F"/>
    <w:rsid w:val="00D80383"/>
    <w:rsid w:val="00D823C6"/>
    <w:rsid w:val="00D8327F"/>
    <w:rsid w:val="00D86CA3"/>
    <w:rsid w:val="00D871CE"/>
    <w:rsid w:val="00D9196D"/>
    <w:rsid w:val="00D92982"/>
    <w:rsid w:val="00D93D77"/>
    <w:rsid w:val="00D95A57"/>
    <w:rsid w:val="00D961C6"/>
    <w:rsid w:val="00DA2581"/>
    <w:rsid w:val="00DA305E"/>
    <w:rsid w:val="00DA4F10"/>
    <w:rsid w:val="00DA5417"/>
    <w:rsid w:val="00DA56E8"/>
    <w:rsid w:val="00DA6EC7"/>
    <w:rsid w:val="00DB0A9F"/>
    <w:rsid w:val="00DB377D"/>
    <w:rsid w:val="00DC2D36"/>
    <w:rsid w:val="00DC53EF"/>
    <w:rsid w:val="00DE5608"/>
    <w:rsid w:val="00DE58D0"/>
    <w:rsid w:val="00DE654F"/>
    <w:rsid w:val="00DF0B6E"/>
    <w:rsid w:val="00DF15E0"/>
    <w:rsid w:val="00DF37A0"/>
    <w:rsid w:val="00DF4C23"/>
    <w:rsid w:val="00DF66E1"/>
    <w:rsid w:val="00E015B8"/>
    <w:rsid w:val="00E110E7"/>
    <w:rsid w:val="00E11B20"/>
    <w:rsid w:val="00E17FA2"/>
    <w:rsid w:val="00E22330"/>
    <w:rsid w:val="00E307A6"/>
    <w:rsid w:val="00E30B5A"/>
    <w:rsid w:val="00E3123D"/>
    <w:rsid w:val="00E31461"/>
    <w:rsid w:val="00E31D43"/>
    <w:rsid w:val="00E32608"/>
    <w:rsid w:val="00E33943"/>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980"/>
    <w:rsid w:val="00E72337"/>
    <w:rsid w:val="00E72EFC"/>
    <w:rsid w:val="00E758EC"/>
    <w:rsid w:val="00E8234C"/>
    <w:rsid w:val="00E83AA9"/>
    <w:rsid w:val="00E85928"/>
    <w:rsid w:val="00E87822"/>
    <w:rsid w:val="00E90395"/>
    <w:rsid w:val="00E90E49"/>
    <w:rsid w:val="00E917F9"/>
    <w:rsid w:val="00E9291C"/>
    <w:rsid w:val="00E93FFE"/>
    <w:rsid w:val="00E94F8A"/>
    <w:rsid w:val="00EA6FD5"/>
    <w:rsid w:val="00EA7A41"/>
    <w:rsid w:val="00EB077B"/>
    <w:rsid w:val="00EB4EA2"/>
    <w:rsid w:val="00EC24D5"/>
    <w:rsid w:val="00EC27C6"/>
    <w:rsid w:val="00EC4207"/>
    <w:rsid w:val="00EC5653"/>
    <w:rsid w:val="00EC71CE"/>
    <w:rsid w:val="00ED1006"/>
    <w:rsid w:val="00EF18FE"/>
    <w:rsid w:val="00EF5787"/>
    <w:rsid w:val="00EF60D0"/>
    <w:rsid w:val="00EF7FB7"/>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37A36"/>
    <w:rsid w:val="00F40F0C"/>
    <w:rsid w:val="00F47429"/>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38D3"/>
    <w:rsid w:val="00F74BB9"/>
    <w:rsid w:val="00F75582"/>
    <w:rsid w:val="00F76EFA"/>
    <w:rsid w:val="00F804BE"/>
    <w:rsid w:val="00F817CE"/>
    <w:rsid w:val="00F8456C"/>
    <w:rsid w:val="00F84874"/>
    <w:rsid w:val="00F859D8"/>
    <w:rsid w:val="00F85A30"/>
    <w:rsid w:val="00F868F5"/>
    <w:rsid w:val="00F904D2"/>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table" w:styleId="GridTable2">
    <w:name w:val="Grid Table 2"/>
    <w:basedOn w:val="TableNormal"/>
    <w:uiPriority w:val="47"/>
    <w:rsid w:val="00BA520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3">
    <w:name w:val="Grid Table 2 Accent 3"/>
    <w:basedOn w:val="TableNormal"/>
    <w:uiPriority w:val="47"/>
    <w:rsid w:val="00BA520D"/>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numbering" w:customStyle="1" w:styleId="CurrentList1">
    <w:name w:val="Current List1"/>
    <w:uiPriority w:val="99"/>
    <w:rsid w:val="000D026F"/>
    <w:pPr>
      <w:numPr>
        <w:numId w:val="46"/>
      </w:numPr>
    </w:pPr>
  </w:style>
  <w:style w:type="numbering" w:customStyle="1" w:styleId="CurrentList2">
    <w:name w:val="Current List2"/>
    <w:uiPriority w:val="99"/>
    <w:rsid w:val="00F84874"/>
    <w:pPr>
      <w:numPr>
        <w:numId w:val="48"/>
      </w:numPr>
    </w:pPr>
  </w:style>
  <w:style w:type="numbering" w:customStyle="1" w:styleId="CurrentList3">
    <w:name w:val="Current List3"/>
    <w:uiPriority w:val="99"/>
    <w:rsid w:val="00F8487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085238">
      <w:bodyDiv w:val="1"/>
      <w:marLeft w:val="0"/>
      <w:marRight w:val="0"/>
      <w:marTop w:val="0"/>
      <w:marBottom w:val="0"/>
      <w:divBdr>
        <w:top w:val="none" w:sz="0" w:space="0" w:color="auto"/>
        <w:left w:val="none" w:sz="0" w:space="0" w:color="auto"/>
        <w:bottom w:val="none" w:sz="0" w:space="0" w:color="auto"/>
        <w:right w:val="none" w:sz="0" w:space="0" w:color="auto"/>
      </w:divBdr>
    </w:div>
    <w:div w:id="208248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76DB91F-FC92-45BE-ADE9-8578699A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125</TotalTime>
  <Pages>9</Pages>
  <Words>3031</Words>
  <Characters>17277</Characters>
  <Application>Microsoft Office Word</Application>
  <DocSecurity>0</DocSecurity>
  <Lines>143</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Ericsson</vt:lpstr>
      <vt:lpstr>Ericsson</vt:lpstr>
    </vt:vector>
  </TitlesOfParts>
  <Company>Ericsson</Company>
  <LinksUpToDate>false</LinksUpToDate>
  <CharactersWithSpaces>20268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(TAS)</cp:lastModifiedBy>
  <cp:revision>7</cp:revision>
  <cp:lastPrinted>2008-01-31T07:09:00Z</cp:lastPrinted>
  <dcterms:created xsi:type="dcterms:W3CDTF">2024-08-08T07:26:00Z</dcterms:created>
  <dcterms:modified xsi:type="dcterms:W3CDTF">2024-08-09T01:41:00Z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